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1F" w:rsidRDefault="00DA341F" w:rsidP="00DA341F">
      <w:pPr>
        <w:pStyle w:val="Textocomentario"/>
        <w:jc w:val="both"/>
        <w:rPr>
          <w:rFonts w:asciiTheme="minorHAnsi" w:hAnsiTheme="minorHAnsi"/>
          <w:color w:val="000000" w:themeColor="text1"/>
        </w:rPr>
      </w:pPr>
      <w:bookmarkStart w:id="0" w:name="_GoBack"/>
      <w:bookmarkEnd w:id="0"/>
      <w:r w:rsidRPr="00110517">
        <w:rPr>
          <w:rFonts w:asciiTheme="minorHAnsi" w:hAnsiTheme="minorHAnsi"/>
          <w:color w:val="000000" w:themeColor="text1"/>
        </w:rPr>
        <w:t>El Grupo Bankinter comienza el ejercicio 2018 con la misma ten</w:t>
      </w:r>
      <w:r>
        <w:rPr>
          <w:rFonts w:asciiTheme="minorHAnsi" w:hAnsiTheme="minorHAnsi"/>
          <w:color w:val="000000" w:themeColor="text1"/>
        </w:rPr>
        <w:t>d</w:t>
      </w:r>
      <w:r w:rsidRPr="00110517">
        <w:rPr>
          <w:rFonts w:asciiTheme="minorHAnsi" w:hAnsiTheme="minorHAnsi"/>
          <w:color w:val="000000" w:themeColor="text1"/>
        </w:rPr>
        <w:t xml:space="preserve">encia de crecimiento rentable </w:t>
      </w:r>
      <w:r>
        <w:rPr>
          <w:rFonts w:asciiTheme="minorHAnsi" w:hAnsiTheme="minorHAnsi"/>
          <w:color w:val="000000" w:themeColor="text1"/>
        </w:rPr>
        <w:t xml:space="preserve">y recurrente </w:t>
      </w:r>
      <w:r w:rsidRPr="00110517">
        <w:rPr>
          <w:rFonts w:asciiTheme="minorHAnsi" w:hAnsiTheme="minorHAnsi"/>
          <w:color w:val="000000" w:themeColor="text1"/>
        </w:rPr>
        <w:t>mostrada en años anteriores, y manteniendo la sólida y complementaria diversificación de todas sus líneas de negocio.</w:t>
      </w:r>
    </w:p>
    <w:p w:rsidR="00DA341F" w:rsidRDefault="00DA341F" w:rsidP="00DA341F">
      <w:pPr>
        <w:pStyle w:val="Textocomentario"/>
        <w:jc w:val="both"/>
        <w:rPr>
          <w:rFonts w:asciiTheme="minorHAnsi" w:hAnsiTheme="minorHAnsi"/>
          <w:color w:val="000000" w:themeColor="text1"/>
        </w:rPr>
      </w:pPr>
    </w:p>
    <w:p w:rsidR="00DA341F" w:rsidRDefault="00DA341F" w:rsidP="00DA341F">
      <w:pPr>
        <w:pStyle w:val="Textocomentario"/>
        <w:jc w:val="both"/>
        <w:rPr>
          <w:rFonts w:ascii="Bankinter" w:hAnsi="Bankinter" w:cs="Bankinter"/>
          <w:color w:val="000000" w:themeColor="text1"/>
          <w:lang w:val="es-ES_tradnl"/>
        </w:rPr>
      </w:pPr>
      <w:r w:rsidRPr="00457822">
        <w:rPr>
          <w:rFonts w:ascii="Bankinter" w:hAnsi="Bankinter" w:cs="Bankinter"/>
          <w:color w:val="000000" w:themeColor="text1"/>
          <w:lang w:val="es-ES_tradnl"/>
        </w:rPr>
        <w:t xml:space="preserve">Los resultados </w:t>
      </w:r>
      <w:r>
        <w:rPr>
          <w:rFonts w:ascii="Bankinter" w:hAnsi="Bankinter" w:cs="Bankinter"/>
          <w:color w:val="000000" w:themeColor="text1"/>
          <w:lang w:val="es-ES_tradnl"/>
        </w:rPr>
        <w:t>del trimestre</w:t>
      </w:r>
      <w:r w:rsidR="00026DCE">
        <w:rPr>
          <w:rFonts w:ascii="Bankinter" w:hAnsi="Bankinter" w:cs="Bankinter"/>
          <w:color w:val="000000" w:themeColor="text1"/>
          <w:lang w:val="es-ES_tradnl"/>
        </w:rPr>
        <w:t xml:space="preserve"> </w:t>
      </w:r>
      <w:r>
        <w:rPr>
          <w:rFonts w:ascii="Bankinter" w:hAnsi="Bankinter" w:cs="Bankinter"/>
          <w:color w:val="000000" w:themeColor="text1"/>
          <w:lang w:val="es-ES_tradnl"/>
        </w:rPr>
        <w:t xml:space="preserve">concluyen con un </w:t>
      </w:r>
      <w:r w:rsidRPr="00110517">
        <w:rPr>
          <w:rFonts w:asciiTheme="minorHAnsi" w:hAnsiTheme="minorHAnsi" w:cs="Bankinter"/>
          <w:color w:val="000000" w:themeColor="text1"/>
        </w:rPr>
        <w:t xml:space="preserve">beneficio neto </w:t>
      </w:r>
      <w:r>
        <w:rPr>
          <w:rFonts w:asciiTheme="minorHAnsi" w:hAnsiTheme="minorHAnsi" w:cs="Bankinter"/>
          <w:color w:val="000000" w:themeColor="text1"/>
        </w:rPr>
        <w:t>de</w:t>
      </w:r>
      <w:r w:rsidRPr="00110517">
        <w:rPr>
          <w:rFonts w:asciiTheme="minorHAnsi" w:hAnsiTheme="minorHAnsi" w:cs="Bankinter"/>
          <w:color w:val="000000" w:themeColor="text1"/>
        </w:rPr>
        <w:t xml:space="preserve"> </w:t>
      </w:r>
      <w:r w:rsidRPr="00110517">
        <w:rPr>
          <w:rFonts w:ascii="Bankinter" w:hAnsi="Bankinter" w:cs="Bankinter"/>
          <w:color w:val="000000" w:themeColor="text1"/>
        </w:rPr>
        <w:t>143</w:t>
      </w:r>
      <w:r>
        <w:rPr>
          <w:rFonts w:ascii="Bankinter" w:hAnsi="Bankinter" w:cs="Bankinter"/>
          <w:color w:val="000000" w:themeColor="text1"/>
        </w:rPr>
        <w:t xml:space="preserve"> </w:t>
      </w:r>
      <w:r w:rsidRPr="00110517">
        <w:rPr>
          <w:rFonts w:ascii="Bankinter" w:hAnsi="Bankinter" w:cs="Bankinter"/>
          <w:color w:val="000000" w:themeColor="text1"/>
        </w:rPr>
        <w:t xml:space="preserve">millones de euros, y </w:t>
      </w:r>
      <w:r>
        <w:rPr>
          <w:rFonts w:ascii="Bankinter" w:hAnsi="Bankinter" w:cs="Bankinter"/>
          <w:color w:val="000000" w:themeColor="text1"/>
        </w:rPr>
        <w:t>con un</w:t>
      </w:r>
      <w:r w:rsidRPr="00110517">
        <w:rPr>
          <w:rFonts w:ascii="Bankinter" w:hAnsi="Bankinter" w:cs="Bankinter"/>
          <w:color w:val="000000" w:themeColor="text1"/>
        </w:rPr>
        <w:t xml:space="preserve"> beneficio antes de impuestos </w:t>
      </w:r>
      <w:r>
        <w:rPr>
          <w:rFonts w:ascii="Bankinter" w:hAnsi="Bankinter" w:cs="Bankinter"/>
          <w:color w:val="000000" w:themeColor="text1"/>
        </w:rPr>
        <w:t>de</w:t>
      </w:r>
      <w:r w:rsidRPr="00110517">
        <w:rPr>
          <w:rFonts w:ascii="Bankinter" w:hAnsi="Bankinter" w:cs="Bankinter"/>
          <w:color w:val="000000" w:themeColor="text1"/>
        </w:rPr>
        <w:t xml:space="preserve"> 195,9 millones, lo </w:t>
      </w:r>
      <w:r w:rsidRPr="00110517">
        <w:rPr>
          <w:rFonts w:ascii="Bankinter" w:hAnsi="Bankinter" w:cs="Bankinter"/>
          <w:color w:val="000000" w:themeColor="text1"/>
          <w:lang w:val="es-ES_tradnl"/>
        </w:rPr>
        <w:t>que supone</w:t>
      </w:r>
      <w:r>
        <w:rPr>
          <w:rFonts w:ascii="Bankinter" w:hAnsi="Bankinter" w:cs="Bankinter"/>
          <w:color w:val="000000" w:themeColor="text1"/>
          <w:lang w:val="es-ES_tradnl"/>
        </w:rPr>
        <w:t xml:space="preserve"> </w:t>
      </w:r>
      <w:r w:rsidRPr="00110517">
        <w:rPr>
          <w:rFonts w:ascii="Bankinter" w:hAnsi="Bankinter" w:cs="Bankinter"/>
          <w:color w:val="000000" w:themeColor="text1"/>
          <w:lang w:val="es-ES_tradnl"/>
        </w:rPr>
        <w:t>crecimiento</w:t>
      </w:r>
      <w:r>
        <w:rPr>
          <w:rFonts w:ascii="Bankinter" w:hAnsi="Bankinter" w:cs="Bankinter"/>
          <w:color w:val="000000" w:themeColor="text1"/>
          <w:lang w:val="es-ES_tradnl"/>
        </w:rPr>
        <w:t>s</w:t>
      </w:r>
      <w:r w:rsidRPr="00110517">
        <w:rPr>
          <w:rFonts w:ascii="Bankinter" w:hAnsi="Bankinter" w:cs="Bankinter"/>
          <w:color w:val="000000" w:themeColor="text1"/>
          <w:lang w:val="es-ES_tradnl"/>
        </w:rPr>
        <w:t xml:space="preserve"> del 15%, y  del 14,2%, respectivamente. </w:t>
      </w:r>
    </w:p>
    <w:p w:rsidR="00DA341F" w:rsidRDefault="00DA341F" w:rsidP="00DA341F">
      <w:pPr>
        <w:pStyle w:val="Textocomentario"/>
        <w:jc w:val="both"/>
        <w:rPr>
          <w:rFonts w:ascii="Bankinter" w:hAnsi="Bankinter" w:cs="Bankinter"/>
          <w:color w:val="000000" w:themeColor="text1"/>
          <w:lang w:val="es-ES_tradnl"/>
        </w:rPr>
      </w:pPr>
    </w:p>
    <w:p w:rsidR="0020476B" w:rsidRDefault="00DA341F" w:rsidP="0020476B">
      <w:pPr>
        <w:pStyle w:val="Textocomentario"/>
        <w:jc w:val="both"/>
        <w:rPr>
          <w:rFonts w:ascii="Bankinter" w:hAnsi="Bankinter" w:cs="Bankinter"/>
          <w:bCs/>
          <w:color w:val="000000" w:themeColor="text1"/>
        </w:rPr>
      </w:pPr>
      <w:r w:rsidRPr="00457822">
        <w:rPr>
          <w:rFonts w:ascii="Bankinter" w:hAnsi="Bankinter" w:cs="Bankinter"/>
          <w:color w:val="000000" w:themeColor="text1"/>
        </w:rPr>
        <w:t>Entre las variables más destacadas d</w:t>
      </w:r>
      <w:r>
        <w:rPr>
          <w:rFonts w:ascii="Bankinter" w:hAnsi="Bankinter" w:cs="Bankinter"/>
          <w:color w:val="000000" w:themeColor="text1"/>
        </w:rPr>
        <w:t>e</w:t>
      </w:r>
      <w:r w:rsidRPr="00457822">
        <w:rPr>
          <w:rFonts w:ascii="Bankinter" w:hAnsi="Bankinter" w:cs="Bankinter"/>
          <w:color w:val="000000" w:themeColor="text1"/>
        </w:rPr>
        <w:t xml:space="preserve"> estos resultados sigue estando la </w:t>
      </w:r>
      <w:r>
        <w:rPr>
          <w:rFonts w:ascii="Bankinter" w:hAnsi="Bankinter" w:cs="Bankinter"/>
          <w:color w:val="000000" w:themeColor="text1"/>
        </w:rPr>
        <w:t>rentabilidad, donde B</w:t>
      </w:r>
      <w:r w:rsidRPr="00457822">
        <w:rPr>
          <w:rFonts w:ascii="Bankinter" w:hAnsi="Bankinter" w:cs="Bankinter"/>
          <w:color w:val="000000" w:themeColor="text1"/>
        </w:rPr>
        <w:t xml:space="preserve">ankinter se mantiene </w:t>
      </w:r>
      <w:r w:rsidR="002774CA">
        <w:rPr>
          <w:rFonts w:ascii="Bankinter" w:hAnsi="Bankinter" w:cs="Bankinter"/>
          <w:color w:val="000000" w:themeColor="text1"/>
        </w:rPr>
        <w:t>entre los</w:t>
      </w:r>
      <w:r>
        <w:rPr>
          <w:rFonts w:ascii="Bankinter" w:hAnsi="Bankinter" w:cs="Bankinter"/>
          <w:color w:val="000000" w:themeColor="text1"/>
        </w:rPr>
        <w:t xml:space="preserve"> </w:t>
      </w:r>
      <w:r w:rsidRPr="00457822">
        <w:rPr>
          <w:rFonts w:ascii="Bankinter" w:hAnsi="Bankinter" w:cs="Bankinter"/>
          <w:color w:val="000000" w:themeColor="text1"/>
        </w:rPr>
        <w:t>banco</w:t>
      </w:r>
      <w:r w:rsidR="002774CA">
        <w:rPr>
          <w:rFonts w:ascii="Bankinter" w:hAnsi="Bankinter" w:cs="Bankinter"/>
          <w:color w:val="000000" w:themeColor="text1"/>
        </w:rPr>
        <w:t>s</w:t>
      </w:r>
      <w:r w:rsidRPr="00457822">
        <w:rPr>
          <w:rFonts w:ascii="Bankinter" w:hAnsi="Bankinter" w:cs="Bankinter"/>
          <w:color w:val="000000" w:themeColor="text1"/>
        </w:rPr>
        <w:t xml:space="preserve"> más rentable</w:t>
      </w:r>
      <w:r w:rsidR="002774CA">
        <w:rPr>
          <w:rFonts w:ascii="Bankinter" w:hAnsi="Bankinter" w:cs="Bankinter"/>
          <w:color w:val="000000" w:themeColor="text1"/>
        </w:rPr>
        <w:t>s</w:t>
      </w:r>
      <w:r w:rsidRPr="00457822">
        <w:rPr>
          <w:rFonts w:ascii="Bankinter" w:hAnsi="Bankinter" w:cs="Bankinter"/>
          <w:color w:val="000000" w:themeColor="text1"/>
        </w:rPr>
        <w:t xml:space="preserve">, con un ROE, o rentabilidad sobre el capital invertido, </w:t>
      </w:r>
      <w:r>
        <w:rPr>
          <w:rFonts w:ascii="Bankinter" w:hAnsi="Bankinter" w:cs="Bankinter"/>
          <w:color w:val="000000" w:themeColor="text1"/>
        </w:rPr>
        <w:t>d</w:t>
      </w:r>
      <w:r w:rsidRPr="00457822">
        <w:rPr>
          <w:rFonts w:ascii="Bankinter" w:hAnsi="Bankinter" w:cs="Bankinter"/>
          <w:color w:val="000000" w:themeColor="text1"/>
        </w:rPr>
        <w:t xml:space="preserve">el </w:t>
      </w:r>
      <w:r w:rsidRPr="00457822">
        <w:rPr>
          <w:rFonts w:ascii="Bankinter" w:hAnsi="Bankinter" w:cs="Bankinter"/>
          <w:bCs/>
          <w:color w:val="000000" w:themeColor="text1"/>
        </w:rPr>
        <w:t>13,3%.</w:t>
      </w:r>
    </w:p>
    <w:p w:rsidR="00972038" w:rsidRDefault="00972038" w:rsidP="0020476B">
      <w:pPr>
        <w:pStyle w:val="Textocomentario"/>
        <w:jc w:val="both"/>
        <w:rPr>
          <w:rFonts w:ascii="Bankinter" w:hAnsi="Bankinter" w:cs="Bankinter"/>
          <w:bCs/>
          <w:color w:val="000000" w:themeColor="text1"/>
        </w:rPr>
      </w:pPr>
    </w:p>
    <w:p w:rsidR="00972038" w:rsidRDefault="00972038" w:rsidP="00972038">
      <w:pPr>
        <w:pStyle w:val="Textocomentario"/>
        <w:jc w:val="both"/>
        <w:rPr>
          <w:rFonts w:asciiTheme="minorHAnsi" w:hAnsiTheme="minorHAnsi" w:cs="Bankinter"/>
          <w:color w:val="000000" w:themeColor="text1"/>
        </w:rPr>
      </w:pPr>
      <w:r>
        <w:rPr>
          <w:rFonts w:asciiTheme="minorHAnsi" w:hAnsiTheme="minorHAnsi" w:cs="Bankinter"/>
          <w:color w:val="000000" w:themeColor="text1"/>
        </w:rPr>
        <w:t>Asimismo, Bankinter fortalece</w:t>
      </w:r>
      <w:r w:rsidRPr="005C3B59">
        <w:rPr>
          <w:rFonts w:asciiTheme="minorHAnsi" w:hAnsiTheme="minorHAnsi" w:cs="Bankinter"/>
          <w:color w:val="000000" w:themeColor="text1"/>
        </w:rPr>
        <w:t xml:space="preserve"> la solvencia</w:t>
      </w:r>
      <w:r>
        <w:rPr>
          <w:rFonts w:asciiTheme="minorHAnsi" w:hAnsiTheme="minorHAnsi" w:cs="Bankinter"/>
          <w:color w:val="000000" w:themeColor="text1"/>
        </w:rPr>
        <w:t xml:space="preserve"> en el trimestre y alcanza </w:t>
      </w:r>
      <w:r w:rsidRPr="005C3B59">
        <w:rPr>
          <w:rFonts w:asciiTheme="minorHAnsi" w:hAnsiTheme="minorHAnsi" w:cs="Bankinter"/>
          <w:color w:val="000000" w:themeColor="text1"/>
        </w:rPr>
        <w:t xml:space="preserve">una ratio de capital CET1 </w:t>
      </w:r>
      <w:proofErr w:type="spellStart"/>
      <w:r w:rsidRPr="00C171C0">
        <w:rPr>
          <w:rFonts w:asciiTheme="minorHAnsi" w:hAnsiTheme="minorHAnsi" w:cs="Bankinter"/>
          <w:i/>
          <w:color w:val="000000" w:themeColor="text1"/>
        </w:rPr>
        <w:t>fully</w:t>
      </w:r>
      <w:proofErr w:type="spellEnd"/>
      <w:r w:rsidRPr="00C171C0">
        <w:rPr>
          <w:rFonts w:asciiTheme="minorHAnsi" w:hAnsiTheme="minorHAnsi" w:cs="Bankinter"/>
          <w:i/>
          <w:color w:val="000000" w:themeColor="text1"/>
        </w:rPr>
        <w:t xml:space="preserve"> </w:t>
      </w:r>
      <w:proofErr w:type="spellStart"/>
      <w:r w:rsidRPr="00C171C0">
        <w:rPr>
          <w:rFonts w:asciiTheme="minorHAnsi" w:hAnsiTheme="minorHAnsi" w:cs="Bankinter"/>
          <w:i/>
          <w:color w:val="000000" w:themeColor="text1"/>
        </w:rPr>
        <w:t>loaded</w:t>
      </w:r>
      <w:proofErr w:type="spellEnd"/>
      <w:r w:rsidRPr="005C3B59">
        <w:rPr>
          <w:rFonts w:asciiTheme="minorHAnsi" w:hAnsiTheme="minorHAnsi" w:cs="Bankinter"/>
          <w:color w:val="000000" w:themeColor="text1"/>
        </w:rPr>
        <w:t xml:space="preserve"> del 12%, </w:t>
      </w:r>
      <w:r>
        <w:rPr>
          <w:rFonts w:asciiTheme="minorHAnsi" w:hAnsiTheme="minorHAnsi" w:cs="Bankinter"/>
          <w:color w:val="000000" w:themeColor="text1"/>
        </w:rPr>
        <w:t>75</w:t>
      </w:r>
      <w:r w:rsidRPr="005C3B59">
        <w:rPr>
          <w:rFonts w:asciiTheme="minorHAnsi" w:hAnsiTheme="minorHAnsi" w:cs="Bankinter"/>
          <w:color w:val="000000" w:themeColor="text1"/>
        </w:rPr>
        <w:t xml:space="preserve"> puntos básicos superior a</w:t>
      </w:r>
      <w:r>
        <w:rPr>
          <w:rFonts w:asciiTheme="minorHAnsi" w:hAnsiTheme="minorHAnsi" w:cs="Bankinter"/>
          <w:color w:val="000000" w:themeColor="text1"/>
        </w:rPr>
        <w:t xml:space="preserve"> </w:t>
      </w:r>
      <w:r w:rsidRPr="005C3B59">
        <w:rPr>
          <w:rFonts w:asciiTheme="minorHAnsi" w:hAnsiTheme="minorHAnsi" w:cs="Bankinter"/>
          <w:color w:val="000000" w:themeColor="text1"/>
        </w:rPr>
        <w:t>l</w:t>
      </w:r>
      <w:r>
        <w:rPr>
          <w:rFonts w:asciiTheme="minorHAnsi" w:hAnsiTheme="minorHAnsi" w:cs="Bankinter"/>
          <w:color w:val="000000" w:themeColor="text1"/>
        </w:rPr>
        <w:t>a</w:t>
      </w:r>
      <w:r w:rsidRPr="005C3B59">
        <w:rPr>
          <w:rFonts w:asciiTheme="minorHAnsi" w:hAnsiTheme="minorHAnsi" w:cs="Bankinter"/>
          <w:color w:val="000000" w:themeColor="text1"/>
        </w:rPr>
        <w:t xml:space="preserve"> de hace un año, y muy por encima de las exigencias regulatorias.</w:t>
      </w:r>
    </w:p>
    <w:p w:rsidR="00972038" w:rsidRDefault="00972038" w:rsidP="00972038">
      <w:pPr>
        <w:pStyle w:val="Textocomentario"/>
        <w:jc w:val="both"/>
        <w:rPr>
          <w:rFonts w:asciiTheme="minorHAnsi" w:hAnsiTheme="minorHAnsi" w:cs="Bankinter"/>
          <w:color w:val="000000" w:themeColor="text1"/>
        </w:rPr>
      </w:pPr>
    </w:p>
    <w:p w:rsidR="00972038" w:rsidRDefault="00972038" w:rsidP="00972038">
      <w:pPr>
        <w:pStyle w:val="Textocomentario"/>
        <w:jc w:val="both"/>
        <w:rPr>
          <w:rFonts w:asciiTheme="minorHAnsi" w:eastAsiaTheme="minorHAnsi" w:hAnsiTheme="minorHAnsi" w:cs="Bankinter"/>
          <w:color w:val="000000" w:themeColor="text1"/>
          <w:lang w:val="es-ES_tradnl" w:eastAsia="en-US"/>
        </w:rPr>
      </w:pPr>
      <w:r w:rsidRPr="004D002E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 xml:space="preserve">En cuanto a la estructura de financiación, el </w:t>
      </w:r>
      <w:r w:rsidRPr="00C171C0">
        <w:rPr>
          <w:rFonts w:asciiTheme="minorHAnsi" w:eastAsiaTheme="minorHAnsi" w:hAnsiTheme="minorHAnsi" w:cs="Bankinter"/>
          <w:i/>
          <w:color w:val="000000" w:themeColor="text1"/>
          <w:lang w:val="es-ES_tradnl" w:eastAsia="en-US"/>
        </w:rPr>
        <w:t>gap</w:t>
      </w:r>
      <w:r w:rsidRPr="004D002E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 xml:space="preserve"> </w:t>
      </w:r>
      <w:r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>comercial</w:t>
      </w:r>
      <w:r w:rsidRPr="004D002E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 xml:space="preserve"> de la entidad se </w:t>
      </w:r>
      <w:r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>sitúa en 4.900</w:t>
      </w:r>
      <w:r w:rsidRPr="004D002E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 xml:space="preserve"> millones </w:t>
      </w:r>
      <w:r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 xml:space="preserve">de euros </w:t>
      </w:r>
      <w:r w:rsidRPr="004D002E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>al cierre de</w:t>
      </w:r>
      <w:r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>l trimestre;</w:t>
      </w:r>
      <w:r w:rsidRPr="004D002E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 xml:space="preserve"> paralelamente, la ratio de depósitos sobre créditos alcanza el </w:t>
      </w:r>
      <w:r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>92%.</w:t>
      </w:r>
    </w:p>
    <w:p w:rsidR="00972038" w:rsidRDefault="00972038" w:rsidP="00972038">
      <w:pPr>
        <w:pStyle w:val="Textocomentario"/>
        <w:jc w:val="both"/>
        <w:rPr>
          <w:rFonts w:asciiTheme="minorHAnsi" w:eastAsiaTheme="minorHAnsi" w:hAnsiTheme="minorHAnsi" w:cs="Bankinter"/>
          <w:color w:val="000000" w:themeColor="text1"/>
          <w:lang w:val="es-ES_tradnl" w:eastAsia="en-US"/>
        </w:rPr>
      </w:pPr>
    </w:p>
    <w:p w:rsidR="00972038" w:rsidRPr="005C3B59" w:rsidRDefault="00972038" w:rsidP="00972038">
      <w:pPr>
        <w:pStyle w:val="Textocomentario"/>
        <w:jc w:val="both"/>
        <w:rPr>
          <w:rFonts w:asciiTheme="minorHAnsi" w:hAnsiTheme="minorHAnsi" w:cs="Bankinter"/>
          <w:color w:val="000000" w:themeColor="text1"/>
        </w:rPr>
      </w:pPr>
      <w:r w:rsidRPr="005C3B59">
        <w:rPr>
          <w:rFonts w:asciiTheme="minorHAnsi" w:hAnsiTheme="minorHAnsi" w:cs="Bankinter"/>
          <w:color w:val="000000" w:themeColor="text1"/>
        </w:rPr>
        <w:t xml:space="preserve">Bankinter no cuenta con vencimientos </w:t>
      </w:r>
      <w:r w:rsidRPr="005C3B59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 xml:space="preserve">de </w:t>
      </w:r>
      <w:r w:rsidRPr="005C3B59">
        <w:rPr>
          <w:rFonts w:asciiTheme="minorHAnsi" w:eastAsiaTheme="minorHAnsi" w:hAnsiTheme="minorHAnsi" w:cs="Bankinter"/>
          <w:color w:val="000000" w:themeColor="text1"/>
          <w:lang w:eastAsia="en-US"/>
        </w:rPr>
        <w:t xml:space="preserve">emisiones mayoristas en lo que resta de año, y las que quedan pendientes para 2019 y 2020 suman 1.600 millones de euros. Para </w:t>
      </w:r>
      <w:r w:rsidRPr="005C3B59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>afrontar estos vencimientos el banco dispone de 10.500 millones</w:t>
      </w:r>
      <w:r w:rsidRPr="005C3B59">
        <w:rPr>
          <w:rFonts w:asciiTheme="minorHAnsi" w:eastAsiaTheme="minorHAnsi" w:hAnsiTheme="minorHAnsi" w:cs="Bankinter"/>
          <w:color w:val="000000" w:themeColor="text1"/>
          <w:lang w:eastAsia="en-US"/>
        </w:rPr>
        <w:t xml:space="preserve">  en </w:t>
      </w:r>
      <w:r w:rsidRPr="005C3B59">
        <w:rPr>
          <w:rFonts w:asciiTheme="minorHAnsi" w:eastAsiaTheme="minorHAnsi" w:hAnsiTheme="minorHAnsi" w:cs="Bankinter"/>
          <w:color w:val="000000" w:themeColor="text1"/>
          <w:lang w:val="es-ES_tradnl" w:eastAsia="en-US"/>
        </w:rPr>
        <w:t xml:space="preserve">activos líquidos </w:t>
      </w:r>
      <w:r w:rsidRPr="005C3B59">
        <w:rPr>
          <w:rFonts w:asciiTheme="minorHAnsi" w:eastAsiaTheme="minorHAnsi" w:hAnsiTheme="minorHAnsi" w:cs="Bankinter"/>
          <w:color w:val="000000" w:themeColor="text1"/>
          <w:lang w:eastAsia="en-US"/>
        </w:rPr>
        <w:t>y una capacidad de emisión de cédulas por valor de 7.000 millones.</w:t>
      </w:r>
    </w:p>
    <w:p w:rsidR="00DA341F" w:rsidRPr="00C171C0" w:rsidRDefault="00026DCE" w:rsidP="00DA341F">
      <w:pPr>
        <w:pStyle w:val="Textocomentario"/>
        <w:jc w:val="both"/>
        <w:rPr>
          <w:rFonts w:asciiTheme="minorHAnsi" w:hAnsiTheme="minorHAnsi" w:cs="Bankinter"/>
          <w:color w:val="000000" w:themeColor="text1"/>
        </w:rPr>
      </w:pPr>
      <w:r>
        <w:rPr>
          <w:rFonts w:ascii="Bankinter" w:hAnsi="Bankinter" w:cs="Bankinter"/>
          <w:color w:val="000000" w:themeColor="text1"/>
        </w:rPr>
        <w:t>También</w:t>
      </w:r>
      <w:r w:rsidR="00DA341F" w:rsidRPr="00C171C0">
        <w:rPr>
          <w:rFonts w:ascii="Bankinter" w:hAnsi="Bankinter" w:cs="Bankinter"/>
          <w:color w:val="000000" w:themeColor="text1"/>
        </w:rPr>
        <w:t xml:space="preserve"> continúa en puestos de privilegio la calidad de activos del banco, con un índice de morosidad que cae hasta el 3,40% desde el 3,88% de hace un año</w:t>
      </w:r>
      <w:r w:rsidR="00DA341F" w:rsidRPr="00C171C0">
        <w:rPr>
          <w:rFonts w:asciiTheme="minorHAnsi" w:hAnsiTheme="minorHAnsi" w:cs="Bankinter"/>
          <w:color w:val="000000" w:themeColor="text1"/>
        </w:rPr>
        <w:t xml:space="preserve">. </w:t>
      </w:r>
      <w:r w:rsidR="00DA341F" w:rsidRPr="00C171C0">
        <w:rPr>
          <w:rFonts w:ascii="Bankinter" w:hAnsi="Bankinter"/>
          <w:color w:val="000000" w:themeColor="text1"/>
        </w:rPr>
        <w:t>Y con una cobertura sobre la morosidad del 52,7%, bastante superior a la del año anterior, que estaba en el 49,4</w:t>
      </w:r>
      <w:r w:rsidR="0020476B" w:rsidRPr="00C171C0">
        <w:rPr>
          <w:rFonts w:ascii="Bankinter" w:hAnsi="Bankinter"/>
          <w:color w:val="000000" w:themeColor="text1"/>
        </w:rPr>
        <w:t>%, un incremento debido en gran medida a la implementación de la nueva normativa contable IFRS 9.</w:t>
      </w:r>
      <w:r w:rsidR="00DA341F" w:rsidRPr="00C171C0">
        <w:rPr>
          <w:rFonts w:ascii="Bankinter" w:hAnsi="Bankinter"/>
          <w:color w:val="000000" w:themeColor="text1"/>
        </w:rPr>
        <w:t xml:space="preserve"> </w:t>
      </w:r>
      <w:r w:rsidR="00DA341F" w:rsidRPr="00C171C0">
        <w:rPr>
          <w:rFonts w:asciiTheme="minorHAnsi" w:hAnsiTheme="minorHAnsi" w:cs="Bankinter"/>
          <w:color w:val="000000" w:themeColor="text1"/>
        </w:rPr>
        <w:t xml:space="preserve">Si se circunscribe al negocio en España, la mora se sitúa en un </w:t>
      </w:r>
      <w:r w:rsidR="00DA341F" w:rsidRPr="00C171C0">
        <w:rPr>
          <w:rFonts w:asciiTheme="minorHAnsi" w:hAnsiTheme="minorHAnsi" w:cs="Bankinter"/>
          <w:bCs/>
          <w:color w:val="000000" w:themeColor="text1"/>
        </w:rPr>
        <w:t xml:space="preserve">3,05%, la ratio más baja de nuestro país, la cual es menos de la mitad que </w:t>
      </w:r>
      <w:r w:rsidR="00DA341F" w:rsidRPr="00C171C0">
        <w:rPr>
          <w:rFonts w:asciiTheme="minorHAnsi" w:hAnsiTheme="minorHAnsi" w:cs="Bankinter"/>
          <w:color w:val="000000" w:themeColor="text1"/>
        </w:rPr>
        <w:t xml:space="preserve">la media del sector. </w:t>
      </w:r>
    </w:p>
    <w:p w:rsidR="00DA341F" w:rsidRDefault="00DA341F" w:rsidP="00DA341F">
      <w:pPr>
        <w:pStyle w:val="Textocomentario"/>
        <w:jc w:val="both"/>
        <w:rPr>
          <w:rFonts w:asciiTheme="minorHAnsi" w:hAnsiTheme="minorHAnsi" w:cs="Bankinter"/>
          <w:color w:val="000000" w:themeColor="text1"/>
        </w:rPr>
      </w:pPr>
    </w:p>
    <w:p w:rsidR="00DA341F" w:rsidRPr="004630DE" w:rsidRDefault="00DA341F" w:rsidP="00DA341F">
      <w:pPr>
        <w:pStyle w:val="Textocomentario"/>
        <w:jc w:val="both"/>
        <w:rPr>
          <w:rFonts w:ascii="Bankinter" w:hAnsi="Bankinter"/>
          <w:color w:val="000000" w:themeColor="text1"/>
        </w:rPr>
      </w:pPr>
      <w:r w:rsidRPr="004630DE">
        <w:rPr>
          <w:rFonts w:ascii="Bankinter" w:hAnsi="Bankinter"/>
          <w:color w:val="000000" w:themeColor="text1"/>
        </w:rPr>
        <w:t>En línea con esto, la cartera de activos inmobiliarios adjudicados</w:t>
      </w:r>
      <w:r>
        <w:rPr>
          <w:rFonts w:ascii="Bankinter" w:hAnsi="Bankinter"/>
          <w:color w:val="000000" w:themeColor="text1"/>
        </w:rPr>
        <w:t xml:space="preserve"> </w:t>
      </w:r>
      <w:r w:rsidRPr="004630DE">
        <w:rPr>
          <w:rFonts w:ascii="Bankinter" w:hAnsi="Bankinter"/>
          <w:color w:val="000000" w:themeColor="text1"/>
        </w:rPr>
        <w:t xml:space="preserve">sigue su tendencia a la baja, con un valor bruto total de 398 millones de euros, frente a los 510,9 millones de hace un año, de los que además un 44% son viviendas. La cobertura sobre adjudicados es del 45,6%. </w:t>
      </w:r>
    </w:p>
    <w:p w:rsidR="00DA341F" w:rsidRDefault="00DA341F" w:rsidP="00DA341F">
      <w:pPr>
        <w:pStyle w:val="Textocomentario"/>
        <w:jc w:val="both"/>
        <w:rPr>
          <w:rFonts w:asciiTheme="minorHAnsi" w:hAnsiTheme="minorHAnsi" w:cs="Bankinter"/>
          <w:color w:val="000000" w:themeColor="text1"/>
        </w:rPr>
      </w:pPr>
    </w:p>
    <w:p w:rsidR="00DA341F" w:rsidRDefault="00FB79C5" w:rsidP="00DA341F">
      <w:pPr>
        <w:spacing w:after="0" w:line="240" w:lineRule="auto"/>
        <w:jc w:val="both"/>
        <w:rPr>
          <w:rFonts w:cs="Bankinter"/>
          <w:b/>
          <w:color w:val="0070C0"/>
          <w:sz w:val="20"/>
          <w:szCs w:val="20"/>
          <w:u w:val="single"/>
        </w:rPr>
      </w:pPr>
      <w:r w:rsidRPr="00FB79C5">
        <w:rPr>
          <w:rFonts w:cs="Bankinter"/>
          <w:b/>
          <w:color w:val="000000" w:themeColor="text1"/>
          <w:sz w:val="20"/>
          <w:szCs w:val="20"/>
          <w:u w:val="single"/>
        </w:rPr>
        <w:t>Crecimiento</w:t>
      </w:r>
      <w:r w:rsidR="00AD2CED" w:rsidRPr="00FB79C5">
        <w:rPr>
          <w:rFonts w:cs="Bankinter"/>
          <w:b/>
          <w:color w:val="000000" w:themeColor="text1"/>
          <w:sz w:val="20"/>
          <w:szCs w:val="20"/>
          <w:u w:val="single"/>
        </w:rPr>
        <w:t xml:space="preserve"> </w:t>
      </w:r>
      <w:r w:rsidR="006E1ABD" w:rsidRPr="00FB79C5">
        <w:rPr>
          <w:rFonts w:cs="Bankinter"/>
          <w:b/>
          <w:color w:val="000000" w:themeColor="text1"/>
          <w:sz w:val="20"/>
          <w:szCs w:val="20"/>
          <w:u w:val="single"/>
        </w:rPr>
        <w:t xml:space="preserve">en </w:t>
      </w:r>
      <w:r w:rsidR="00493AD6" w:rsidRPr="00FB79C5">
        <w:rPr>
          <w:rFonts w:cs="Bankinter"/>
          <w:b/>
          <w:color w:val="000000" w:themeColor="text1"/>
          <w:sz w:val="20"/>
          <w:szCs w:val="20"/>
          <w:u w:val="single"/>
        </w:rPr>
        <w:t xml:space="preserve">todos </w:t>
      </w:r>
      <w:r w:rsidR="006E1ABD" w:rsidRPr="00FB79C5">
        <w:rPr>
          <w:rFonts w:cs="Bankinter"/>
          <w:b/>
          <w:color w:val="000000" w:themeColor="text1"/>
          <w:sz w:val="20"/>
          <w:szCs w:val="20"/>
          <w:u w:val="single"/>
        </w:rPr>
        <w:t>los</w:t>
      </w:r>
      <w:r w:rsidR="00430C42" w:rsidRPr="00FB79C5">
        <w:rPr>
          <w:rFonts w:cs="Bankinter"/>
          <w:b/>
          <w:color w:val="000000" w:themeColor="text1"/>
          <w:sz w:val="20"/>
          <w:szCs w:val="20"/>
          <w:u w:val="single"/>
        </w:rPr>
        <w:t xml:space="preserve"> márgenes. </w:t>
      </w:r>
    </w:p>
    <w:p w:rsidR="00DA341F" w:rsidRDefault="00DA341F" w:rsidP="00DA341F">
      <w:pPr>
        <w:spacing w:after="0" w:line="240" w:lineRule="auto"/>
        <w:jc w:val="both"/>
        <w:rPr>
          <w:rFonts w:cs="Bankinter"/>
          <w:b/>
          <w:color w:val="0070C0"/>
          <w:sz w:val="20"/>
          <w:szCs w:val="20"/>
          <w:u w:val="single"/>
        </w:rPr>
      </w:pPr>
    </w:p>
    <w:p w:rsidR="00DA341F" w:rsidRPr="00026DCE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  <w:r w:rsidRPr="00026DCE">
        <w:rPr>
          <w:rFonts w:cs="Bankinter"/>
          <w:color w:val="000000" w:themeColor="text1"/>
          <w:sz w:val="20"/>
          <w:szCs w:val="20"/>
        </w:rPr>
        <w:t xml:space="preserve">Los resultados </w:t>
      </w:r>
      <w:r w:rsidR="00026DCE" w:rsidRPr="00026DCE">
        <w:rPr>
          <w:rFonts w:cs="Bankinter"/>
          <w:color w:val="000000" w:themeColor="text1"/>
          <w:sz w:val="20"/>
          <w:szCs w:val="20"/>
        </w:rPr>
        <w:t>d</w:t>
      </w:r>
      <w:r w:rsidRPr="00026DCE">
        <w:rPr>
          <w:rFonts w:cs="Bankinter"/>
          <w:color w:val="000000" w:themeColor="text1"/>
          <w:sz w:val="20"/>
          <w:szCs w:val="20"/>
        </w:rPr>
        <w:t>el Grupo Bankinter</w:t>
      </w:r>
      <w:r w:rsidR="00026DCE" w:rsidRPr="00026DCE">
        <w:rPr>
          <w:rFonts w:cs="Bankinter"/>
          <w:color w:val="000000" w:themeColor="text1"/>
          <w:sz w:val="20"/>
          <w:szCs w:val="20"/>
        </w:rPr>
        <w:t xml:space="preserve">, </w:t>
      </w:r>
      <w:r w:rsidR="00026DCE" w:rsidRPr="00026DCE">
        <w:rPr>
          <w:rFonts w:ascii="Bankinter" w:hAnsi="Bankinter" w:cs="Bankinter"/>
          <w:color w:val="000000" w:themeColor="text1"/>
          <w:sz w:val="20"/>
          <w:szCs w:val="20"/>
          <w:lang w:val="es-ES_tradnl"/>
        </w:rPr>
        <w:t xml:space="preserve">que se presentan por primera vez bajo la nueva normativa contable IFRS 9, que entró en vigor el pasado mes de enero, </w:t>
      </w:r>
      <w:r w:rsidRPr="00026DCE">
        <w:rPr>
          <w:rFonts w:cs="Bankinter"/>
          <w:color w:val="000000" w:themeColor="text1"/>
          <w:sz w:val="20"/>
          <w:szCs w:val="20"/>
        </w:rPr>
        <w:t xml:space="preserve"> siguen mostrando fortaleza en los márgenes, y potencial de recorrido de cara al futuro.</w:t>
      </w:r>
    </w:p>
    <w:p w:rsidR="00DA341F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</w:p>
    <w:p w:rsidR="00DA341F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  <w:r w:rsidRPr="009976EB">
        <w:rPr>
          <w:rFonts w:cs="Bankinter"/>
          <w:color w:val="000000" w:themeColor="text1"/>
          <w:sz w:val="20"/>
          <w:szCs w:val="20"/>
        </w:rPr>
        <w:t>Así, el margen de intereses alcanza al cierre del trimestre los 271,8 millones de euros, un 9,1% más que hace un año.</w:t>
      </w:r>
    </w:p>
    <w:p w:rsidR="00DA341F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</w:p>
    <w:p w:rsidR="00DA341F" w:rsidRDefault="00DA341F" w:rsidP="00DA341F">
      <w:pPr>
        <w:spacing w:after="0" w:line="240" w:lineRule="auto"/>
        <w:jc w:val="both"/>
        <w:rPr>
          <w:rFonts w:ascii="Bankinter" w:hAnsi="Bankinter" w:cs="Bankinter"/>
          <w:color w:val="000000" w:themeColor="text1"/>
          <w:sz w:val="20"/>
          <w:szCs w:val="20"/>
        </w:rPr>
      </w:pPr>
      <w:r w:rsidRPr="009976EB">
        <w:rPr>
          <w:rFonts w:ascii="Bankinter" w:hAnsi="Bankinter" w:cs="Bankinter"/>
          <w:color w:val="000000" w:themeColor="text1"/>
          <w:sz w:val="20"/>
          <w:szCs w:val="20"/>
        </w:rPr>
        <w:t>Atendiendo al margen bruto suma, al 31 de marzo, 500,4 millones de euros, un 9,1% más que en el primer trimestre de 2017, gracias sobre todo a la aportación de las  comisiones, que se incrementan en su importe neto un 8,7% frente al mismo trimestre del año pasado, destacando entre ellas las que provienen del negocio de Gestión de Activos: un 15,1% más;</w:t>
      </w:r>
      <w:r>
        <w:rPr>
          <w:rFonts w:ascii="Bankinter" w:hAnsi="Bankinter" w:cs="Bankinter"/>
          <w:color w:val="000000" w:themeColor="text1"/>
          <w:sz w:val="20"/>
          <w:szCs w:val="20"/>
        </w:rPr>
        <w:t xml:space="preserve"> o las de Renta V</w:t>
      </w:r>
      <w:r w:rsidRPr="009976EB">
        <w:rPr>
          <w:rFonts w:ascii="Bankinter" w:hAnsi="Bankinter" w:cs="Bankinter"/>
          <w:color w:val="000000" w:themeColor="text1"/>
          <w:sz w:val="20"/>
          <w:szCs w:val="20"/>
        </w:rPr>
        <w:t>ariable: 16,5% más.</w:t>
      </w:r>
    </w:p>
    <w:p w:rsidR="00DA341F" w:rsidRDefault="00DA341F" w:rsidP="00DA341F">
      <w:pPr>
        <w:spacing w:after="0" w:line="240" w:lineRule="auto"/>
        <w:jc w:val="both"/>
        <w:rPr>
          <w:rFonts w:ascii="Bankinter" w:hAnsi="Bankinter" w:cs="Bankinter"/>
          <w:color w:val="000000" w:themeColor="text1"/>
          <w:sz w:val="20"/>
          <w:szCs w:val="20"/>
        </w:rPr>
      </w:pPr>
    </w:p>
    <w:p w:rsidR="00DA341F" w:rsidRDefault="00DA341F" w:rsidP="00DA341F">
      <w:pPr>
        <w:spacing w:after="0" w:line="240" w:lineRule="auto"/>
        <w:jc w:val="both"/>
        <w:rPr>
          <w:rFonts w:eastAsiaTheme="minorHAnsi" w:cs="Tms Rmn"/>
          <w:color w:val="000000" w:themeColor="text1"/>
          <w:sz w:val="20"/>
          <w:szCs w:val="20"/>
          <w:lang w:eastAsia="en-US"/>
        </w:rPr>
      </w:pPr>
      <w:r w:rsidRPr="009976EB">
        <w:rPr>
          <w:rFonts w:ascii="Bankinter" w:hAnsi="Bankinter" w:cs="Bankinter"/>
          <w:color w:val="000000" w:themeColor="text1"/>
          <w:sz w:val="20"/>
          <w:szCs w:val="20"/>
        </w:rPr>
        <w:t>Y en cuanto al margen de explotación, concluye el trimestre con 248,1 millones de euros, un 9,7% más que hace un año, y es que pese a asumir mayores costes que en e</w:t>
      </w:r>
      <w:r>
        <w:rPr>
          <w:rFonts w:ascii="Bankinter" w:hAnsi="Bankinter" w:cs="Bankinter"/>
          <w:color w:val="000000" w:themeColor="text1"/>
          <w:sz w:val="20"/>
          <w:szCs w:val="20"/>
        </w:rPr>
        <w:t>l primer trimestre de 2017</w:t>
      </w:r>
      <w:r w:rsidRPr="009976EB">
        <w:rPr>
          <w:rFonts w:ascii="Bankinter" w:hAnsi="Bankinter" w:cs="Bankinter"/>
          <w:color w:val="000000" w:themeColor="text1"/>
          <w:sz w:val="20"/>
          <w:szCs w:val="20"/>
        </w:rPr>
        <w:t xml:space="preserve"> (mayores gastos de personal por el incremento de plantilla e inversiones tecnológicas, fundamentalmente) la diferencia entre ingresos y gastos es superior a la de hace un año. Así, el ratio de </w:t>
      </w:r>
      <w:r w:rsidRPr="009976EB">
        <w:rPr>
          <w:rFonts w:eastAsiaTheme="minorHAnsi" w:cs="Tms Rmn"/>
          <w:color w:val="000000" w:themeColor="text1"/>
          <w:sz w:val="20"/>
          <w:szCs w:val="20"/>
          <w:lang w:eastAsia="en-US"/>
        </w:rPr>
        <w:t>eficiencia de la actividad bancaria con amortizaciones se sitúa en el 46,9%, frente al 47,9% de hace un año.</w:t>
      </w:r>
    </w:p>
    <w:p w:rsidR="00DA341F" w:rsidRDefault="00DA341F" w:rsidP="00DA341F">
      <w:pPr>
        <w:spacing w:after="0" w:line="240" w:lineRule="auto"/>
        <w:jc w:val="both"/>
        <w:rPr>
          <w:rFonts w:eastAsiaTheme="minorHAnsi" w:cs="Tms Rmn"/>
          <w:color w:val="000000" w:themeColor="text1"/>
          <w:sz w:val="20"/>
          <w:szCs w:val="20"/>
          <w:lang w:eastAsia="en-US"/>
        </w:rPr>
      </w:pPr>
    </w:p>
    <w:p w:rsidR="00DA341F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  <w:r w:rsidRPr="00D91AE6">
        <w:rPr>
          <w:rFonts w:cs="Bankinter"/>
          <w:color w:val="000000" w:themeColor="text1"/>
          <w:sz w:val="20"/>
          <w:szCs w:val="20"/>
        </w:rPr>
        <w:t xml:space="preserve">Respecto al balance de Bankinter, los activos totales del Grupo cierran el trimestre en 71.289,7 millones de euros, un 2,4% más que en el primer trimestre de 2017. </w:t>
      </w:r>
    </w:p>
    <w:p w:rsidR="00DA341F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</w:p>
    <w:p w:rsidR="00DA341F" w:rsidRDefault="00DA341F" w:rsidP="00DA341F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D91AE6">
        <w:rPr>
          <w:rFonts w:cs="Bankinter"/>
          <w:color w:val="000000" w:themeColor="text1"/>
          <w:sz w:val="20"/>
          <w:szCs w:val="20"/>
        </w:rPr>
        <w:t>En cuanto al total de la inversión crediticia</w:t>
      </w:r>
      <w:r w:rsidRPr="00D91AE6">
        <w:rPr>
          <w:color w:val="000000" w:themeColor="text1"/>
          <w:sz w:val="20"/>
          <w:szCs w:val="20"/>
        </w:rPr>
        <w:t xml:space="preserve"> a clientes, por valor de 52.958 millones de euros, supone un crecimiento del 3,3% en el periodo comparado</w:t>
      </w:r>
      <w:r>
        <w:rPr>
          <w:color w:val="000000" w:themeColor="text1"/>
          <w:sz w:val="20"/>
          <w:szCs w:val="20"/>
        </w:rPr>
        <w:t>, cuando el sector en su conjunto ha reducido la inversión en un 1,6%. Ese crecimiento de la cartera crediticia de Bankinter se produce tanto en Portugal como en los datos de negocio en España.</w:t>
      </w:r>
    </w:p>
    <w:p w:rsidR="00DA341F" w:rsidRDefault="00DA341F" w:rsidP="00DA341F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:rsidR="00DA341F" w:rsidRPr="00D91AE6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  <w:r>
        <w:rPr>
          <w:rFonts w:cs="Bankinter"/>
          <w:color w:val="000000" w:themeColor="text1"/>
          <w:sz w:val="20"/>
          <w:szCs w:val="20"/>
        </w:rPr>
        <w:t>Por su parte, l</w:t>
      </w:r>
      <w:r w:rsidRPr="00D91AE6">
        <w:rPr>
          <w:rFonts w:cs="Bankinter"/>
          <w:color w:val="000000" w:themeColor="text1"/>
          <w:sz w:val="20"/>
          <w:szCs w:val="20"/>
        </w:rPr>
        <w:t>os recursos controlados experimentan un fuerte incremento del 15,6%, hasta los 88.393,7 millones de euros, destacando los recursos gestionados fuera de balance (fondos de inversión, fondos de pensiones y gestión patrimonial), que ya suman 26.883,9 millones de euros, un 8,9% más que hace un año.</w:t>
      </w:r>
    </w:p>
    <w:p w:rsidR="008259E5" w:rsidRPr="007B1B63" w:rsidRDefault="008259E5" w:rsidP="008259E5">
      <w:pPr>
        <w:spacing w:after="0" w:line="240" w:lineRule="auto"/>
        <w:jc w:val="both"/>
        <w:rPr>
          <w:rFonts w:cs="Bankinter"/>
          <w:color w:val="0070C0"/>
          <w:sz w:val="20"/>
          <w:szCs w:val="20"/>
        </w:rPr>
      </w:pPr>
    </w:p>
    <w:p w:rsidR="00DA341F" w:rsidRDefault="00FB79C5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b/>
          <w:color w:val="0070C0"/>
          <w:sz w:val="20"/>
          <w:szCs w:val="20"/>
          <w:u w:val="single"/>
        </w:rPr>
      </w:pPr>
      <w:r w:rsidRPr="00FB79C5">
        <w:rPr>
          <w:rFonts w:cs="Bankinter"/>
          <w:b/>
          <w:color w:val="000000" w:themeColor="text1"/>
          <w:sz w:val="20"/>
          <w:szCs w:val="20"/>
          <w:u w:val="single"/>
        </w:rPr>
        <w:t>L</w:t>
      </w:r>
      <w:r w:rsidR="00B306CE" w:rsidRPr="00FB79C5">
        <w:rPr>
          <w:rFonts w:cs="Bankinter"/>
          <w:b/>
          <w:color w:val="000000" w:themeColor="text1"/>
          <w:sz w:val="20"/>
          <w:szCs w:val="20"/>
          <w:u w:val="single"/>
        </w:rPr>
        <w:t>íneas de negocio rentables</w:t>
      </w:r>
      <w:r w:rsidRPr="00FB79C5">
        <w:rPr>
          <w:rFonts w:cs="Bankinter"/>
          <w:b/>
          <w:color w:val="000000" w:themeColor="text1"/>
          <w:sz w:val="20"/>
          <w:szCs w:val="20"/>
          <w:u w:val="single"/>
        </w:rPr>
        <w:t xml:space="preserve"> y complementarias entre sí</w:t>
      </w:r>
      <w:r w:rsidR="00B306CE" w:rsidRPr="00FB79C5">
        <w:rPr>
          <w:rFonts w:cs="Bankinter"/>
          <w:b/>
          <w:color w:val="000000" w:themeColor="text1"/>
          <w:sz w:val="20"/>
          <w:szCs w:val="20"/>
          <w:u w:val="single"/>
        </w:rPr>
        <w:t>.</w:t>
      </w:r>
    </w:p>
    <w:p w:rsidR="00DA341F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b/>
          <w:color w:val="0070C0"/>
          <w:sz w:val="20"/>
          <w:szCs w:val="20"/>
          <w:u w:val="single"/>
        </w:rPr>
      </w:pPr>
    </w:p>
    <w:p w:rsidR="00DA341F" w:rsidRPr="00972038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  <w:r w:rsidRPr="00972038">
        <w:rPr>
          <w:rFonts w:cs="Bankinter"/>
          <w:color w:val="000000" w:themeColor="text1"/>
          <w:sz w:val="20"/>
          <w:szCs w:val="20"/>
        </w:rPr>
        <w:t>Los resultados vuelven a demostrar que el negocio de clientes de Bankinter sigue siendo el principal contribuidor a los ingresos del Grupo, estructurado en sus ya famosas cinco líneas de actividad, que se complementan entre sí y que cuentan todas ellas con alto potencial de crecimiento futuro.</w:t>
      </w:r>
    </w:p>
    <w:p w:rsidR="00DA341F" w:rsidRPr="00972038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</w:p>
    <w:p w:rsidR="00DA341F" w:rsidRPr="00972038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Helv"/>
          <w:color w:val="000000" w:themeColor="text1"/>
          <w:sz w:val="20"/>
          <w:szCs w:val="20"/>
          <w:lang w:eastAsia="en-US"/>
        </w:rPr>
      </w:pPr>
      <w:r w:rsidRPr="00972038">
        <w:rPr>
          <w:rFonts w:eastAsiaTheme="minorHAnsi" w:cs="Helv"/>
          <w:color w:val="000000" w:themeColor="text1"/>
          <w:sz w:val="20"/>
          <w:szCs w:val="20"/>
          <w:lang w:eastAsia="en-US"/>
        </w:rPr>
        <w:t>La línea que realiza una mayor contribución al margen bruto es la de Banca de Empresas, que aportó durante este primer trimestre un 28% a ese margen. La inversión crediticia en empresas alcanza al cierre de marzo los 22.700 millones de euros lo que supone un 5% más que hace un año, una tendencia muy positiva si tenemos en cuenta que el sector ha decrecido de media un 3,6% en el mismo periodo.</w:t>
      </w:r>
    </w:p>
    <w:p w:rsidR="00DA341F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Helv"/>
          <w:color w:val="000000" w:themeColor="text1"/>
          <w:sz w:val="20"/>
          <w:szCs w:val="20"/>
          <w:lang w:eastAsia="en-US"/>
        </w:rPr>
      </w:pPr>
    </w:p>
    <w:p w:rsidR="0020476B" w:rsidRDefault="00DA341F" w:rsidP="0020476B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Helv"/>
          <w:color w:val="000000" w:themeColor="text1"/>
          <w:sz w:val="20"/>
          <w:szCs w:val="20"/>
          <w:lang w:eastAsia="en-US"/>
        </w:rPr>
      </w:pPr>
      <w:r w:rsidRPr="00DC2DA8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Dentro de esta línea de Empresas, es muy </w:t>
      </w:r>
      <w:r>
        <w:rPr>
          <w:rFonts w:eastAsiaTheme="minorHAnsi" w:cs="Helv"/>
          <w:color w:val="000000" w:themeColor="text1"/>
          <w:sz w:val="20"/>
          <w:szCs w:val="20"/>
          <w:lang w:eastAsia="en-US"/>
        </w:rPr>
        <w:t>reseñable</w:t>
      </w:r>
      <w:r w:rsidRPr="00DC2DA8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 la cada vez mayor vinculación que mantienen estas empresas con el banco, </w:t>
      </w:r>
      <w:r>
        <w:rPr>
          <w:rFonts w:eastAsiaTheme="minorHAnsi" w:cs="Helv"/>
          <w:color w:val="000000" w:themeColor="text1"/>
          <w:sz w:val="20"/>
          <w:szCs w:val="20"/>
          <w:lang w:eastAsia="en-US"/>
        </w:rPr>
        <w:t>como se demuestra con la mayor</w:t>
      </w:r>
      <w:r w:rsidRPr="00DC2DA8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 actividad comercial y transaccional</w:t>
      </w:r>
      <w:r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 que desarrollan</w:t>
      </w:r>
      <w:r w:rsidRPr="00DC2DA8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. Destaca, una vez más, el negocio internacional de empresas, que </w:t>
      </w:r>
      <w:r>
        <w:rPr>
          <w:rFonts w:eastAsiaTheme="minorHAnsi" w:cs="Helv"/>
          <w:color w:val="000000" w:themeColor="text1"/>
          <w:sz w:val="20"/>
          <w:szCs w:val="20"/>
          <w:lang w:eastAsia="en-US"/>
        </w:rPr>
        <w:t>genera</w:t>
      </w:r>
      <w:r w:rsidRPr="00DC2DA8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 ya el 25% de</w:t>
      </w:r>
      <w:r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l </w:t>
      </w:r>
      <w:r w:rsidRPr="00DC2DA8">
        <w:rPr>
          <w:rFonts w:eastAsiaTheme="minorHAnsi" w:cs="Helv"/>
          <w:color w:val="000000" w:themeColor="text1"/>
          <w:sz w:val="20"/>
          <w:szCs w:val="20"/>
          <w:lang w:eastAsia="en-US"/>
        </w:rPr>
        <w:t>margen bruto del segmento.</w:t>
      </w:r>
    </w:p>
    <w:p w:rsidR="0020476B" w:rsidRDefault="0020476B" w:rsidP="0020476B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Helv"/>
          <w:color w:val="000000" w:themeColor="text1"/>
          <w:sz w:val="20"/>
          <w:szCs w:val="20"/>
          <w:lang w:eastAsia="en-US"/>
        </w:rPr>
      </w:pPr>
    </w:p>
    <w:p w:rsidR="0020476B" w:rsidRDefault="0020476B" w:rsidP="0020476B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Helv"/>
          <w:color w:val="000000" w:themeColor="text1"/>
          <w:sz w:val="20"/>
          <w:szCs w:val="20"/>
          <w:lang w:eastAsia="en-US"/>
        </w:rPr>
      </w:pPr>
      <w:r w:rsidRPr="009F76ED">
        <w:rPr>
          <w:rFonts w:eastAsiaTheme="minorHAnsi" w:cs="Helv"/>
          <w:color w:val="000000" w:themeColor="text1"/>
          <w:sz w:val="20"/>
          <w:szCs w:val="20"/>
          <w:lang w:eastAsia="en-US"/>
        </w:rPr>
        <w:t>En cuanto a Banca Comercial, o de personas físicas, con una aportación al margen bruto del banco del 27%, destaca la buena evolución en los segmentos de Banca Privada y Banca Personal. En el primero de ellos, el patrimonio gestionado de estos clientes de alto patrimonio alcanza los 35.800 millones de euros, un 8% más que en el primer trimestre de 2017</w:t>
      </w:r>
      <w:r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. </w:t>
      </w:r>
      <w:r w:rsidRPr="009F76ED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En cuanto a Banca Personal, el patrimonio gestionado asciende </w:t>
      </w:r>
      <w:r>
        <w:rPr>
          <w:rFonts w:eastAsiaTheme="minorHAnsi" w:cs="Helv"/>
          <w:color w:val="000000" w:themeColor="text1"/>
          <w:sz w:val="20"/>
          <w:szCs w:val="20"/>
          <w:lang w:eastAsia="en-US"/>
        </w:rPr>
        <w:t>a</w:t>
      </w:r>
      <w:r w:rsidRPr="009F76ED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 21.5</w:t>
      </w:r>
      <w:r>
        <w:rPr>
          <w:rFonts w:eastAsiaTheme="minorHAnsi" w:cs="Helv"/>
          <w:color w:val="000000" w:themeColor="text1"/>
          <w:sz w:val="20"/>
          <w:szCs w:val="20"/>
          <w:lang w:eastAsia="en-US"/>
        </w:rPr>
        <w:t>00 millones de euros, un 9% más.</w:t>
      </w:r>
    </w:p>
    <w:p w:rsidR="0020476B" w:rsidRDefault="0020476B" w:rsidP="0020476B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Helv"/>
          <w:color w:val="000000" w:themeColor="text1"/>
          <w:sz w:val="20"/>
          <w:szCs w:val="20"/>
          <w:lang w:eastAsia="en-US"/>
        </w:rPr>
      </w:pPr>
    </w:p>
    <w:p w:rsidR="0020476B" w:rsidRPr="00C171C0" w:rsidRDefault="0020476B" w:rsidP="0020476B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Helv"/>
          <w:color w:val="000000" w:themeColor="text1"/>
          <w:sz w:val="20"/>
          <w:szCs w:val="20"/>
          <w:lang w:eastAsia="en-US"/>
        </w:rPr>
      </w:pPr>
      <w:r w:rsidRPr="00C171C0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El patrimonio neto nuevo en este primer trimestre de los clientes de estos segmentos ha sido de 1.100 millones de euros en Banca privada, un 50% más que en el mismo periodo de 2017; y 400 millones de euros netos nuevos procedentes de los clientes de Banca Personal. Y todo ello pese a la merma que se ha producido en las carteras por el </w:t>
      </w:r>
      <w:r w:rsidRPr="00C171C0">
        <w:rPr>
          <w:rFonts w:eastAsiaTheme="minorHAnsi" w:cs="Helv"/>
          <w:color w:val="000000" w:themeColor="text1"/>
          <w:sz w:val="20"/>
          <w:szCs w:val="20"/>
          <w:lang w:eastAsia="en-US"/>
        </w:rPr>
        <w:lastRenderedPageBreak/>
        <w:t>efecto mercado: por importe de 400 millones en Banca Privada y de 100 millones en las de Banca Personal.</w:t>
      </w:r>
    </w:p>
    <w:p w:rsidR="00DA341F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Helv"/>
          <w:color w:val="000000" w:themeColor="text1"/>
          <w:sz w:val="20"/>
          <w:szCs w:val="20"/>
          <w:lang w:eastAsia="en-US"/>
        </w:rPr>
      </w:pPr>
    </w:p>
    <w:p w:rsidR="00DA341F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  <w:lang w:val="es-ES_tradnl"/>
        </w:rPr>
      </w:pPr>
      <w:r w:rsidRPr="00925C85">
        <w:rPr>
          <w:rFonts w:eastAsiaTheme="minorHAnsi" w:cs="Helv"/>
          <w:color w:val="000000" w:themeColor="text1"/>
          <w:sz w:val="20"/>
          <w:szCs w:val="20"/>
          <w:lang w:eastAsia="en-US"/>
        </w:rPr>
        <w:t xml:space="preserve">En esta línea de negocio de Banca Comercial destacan los resultados en dos productos altamente vinculantes y que son clara vía de entrada de nuevos clientes: la cuenta nómina y los préstamos hipotecarios. En el primero, la cartera de este tipo de cuentas asciende a 7.088 millones de euros, un 21% más que doce meses atrás. 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Por su parte, la nueva producción hipotecaria residencial </w:t>
      </w:r>
      <w:r>
        <w:rPr>
          <w:rFonts w:cs="Bankinter"/>
          <w:color w:val="000000" w:themeColor="text1"/>
          <w:sz w:val="20"/>
          <w:szCs w:val="20"/>
          <w:lang w:val="es-ES_tradnl"/>
        </w:rPr>
        <w:t>vuelve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 a dar signos de revitalización, espoleada por la tendencia del mercado y </w:t>
      </w:r>
      <w:r>
        <w:rPr>
          <w:rFonts w:cs="Bankinter"/>
          <w:color w:val="000000" w:themeColor="text1"/>
          <w:sz w:val="20"/>
          <w:szCs w:val="20"/>
          <w:lang w:val="es-ES_tradnl"/>
        </w:rPr>
        <w:t xml:space="preserve">por 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>los nuevos y competitivos precios de los productos del banco. La producción de hipotecas del trimestre ascendió a 572 millones de euros, un 10% más que en el mismo trimestre de 2017. De estas, un 28% son ya hipotecas fijas.</w:t>
      </w:r>
    </w:p>
    <w:p w:rsidR="00DA341F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  <w:lang w:val="es-ES_tradnl"/>
        </w:rPr>
      </w:pPr>
    </w:p>
    <w:p w:rsidR="00DA341F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La tercera línea de negocio en términos de aportación al margen bruto es </w:t>
      </w:r>
      <w:r w:rsidRPr="00925C85">
        <w:rPr>
          <w:rFonts w:cs="Bankinter"/>
          <w:color w:val="000000" w:themeColor="text1"/>
          <w:sz w:val="20"/>
          <w:szCs w:val="20"/>
        </w:rPr>
        <w:t xml:space="preserve">Línea Directa. El número de pólizas o riesgos asegurados por la compañía alcanza a marzo de 2018 los 2,86 millones. </w:t>
      </w:r>
      <w:r>
        <w:rPr>
          <w:rFonts w:cs="Bankinter"/>
          <w:color w:val="000000" w:themeColor="text1"/>
          <w:sz w:val="20"/>
          <w:szCs w:val="20"/>
        </w:rPr>
        <w:t>Su</w:t>
      </w:r>
      <w:r w:rsidRPr="00925C85">
        <w:rPr>
          <w:rFonts w:cs="Bankinter"/>
          <w:color w:val="000000" w:themeColor="text1"/>
          <w:sz w:val="20"/>
          <w:szCs w:val="20"/>
        </w:rPr>
        <w:t xml:space="preserve"> crecimiento es de un 7% </w:t>
      </w:r>
      <w:r w:rsidR="00964CBA">
        <w:rPr>
          <w:rFonts w:cs="Bankinter"/>
          <w:color w:val="000000" w:themeColor="text1"/>
          <w:sz w:val="20"/>
          <w:szCs w:val="20"/>
        </w:rPr>
        <w:t>en pólizas motor, y del 12% en h</w:t>
      </w:r>
      <w:r w:rsidRPr="00925C85">
        <w:rPr>
          <w:rFonts w:cs="Bankinter"/>
          <w:color w:val="000000" w:themeColor="text1"/>
          <w:sz w:val="20"/>
          <w:szCs w:val="20"/>
        </w:rPr>
        <w:t xml:space="preserve">ogar. En cuanto a las primas, suman </w:t>
      </w:r>
      <w:r>
        <w:rPr>
          <w:rFonts w:cs="Bankinter"/>
          <w:color w:val="000000" w:themeColor="text1"/>
          <w:sz w:val="20"/>
          <w:szCs w:val="20"/>
        </w:rPr>
        <w:t xml:space="preserve">en total </w:t>
      </w:r>
      <w:r w:rsidRPr="00925C85">
        <w:rPr>
          <w:rFonts w:cs="Bankinter"/>
          <w:color w:val="000000" w:themeColor="text1"/>
          <w:sz w:val="20"/>
          <w:szCs w:val="20"/>
        </w:rPr>
        <w:t xml:space="preserve">204 millones de euros, un 8% más que hace un año, lo que supone un crecimiento muy superior al del sector. Esta compañía mantiene la alta rentabilidad del negocio, con un ROE del </w:t>
      </w:r>
      <w:r w:rsidRPr="00925C85">
        <w:rPr>
          <w:rFonts w:cs="Bankinter"/>
          <w:bCs/>
          <w:color w:val="000000" w:themeColor="text1"/>
          <w:sz w:val="20"/>
          <w:szCs w:val="20"/>
        </w:rPr>
        <w:t>36%,</w:t>
      </w:r>
      <w:r w:rsidRPr="00925C85">
        <w:rPr>
          <w:rFonts w:cs="Bankinter"/>
          <w:color w:val="000000" w:themeColor="text1"/>
          <w:sz w:val="20"/>
          <w:szCs w:val="20"/>
        </w:rPr>
        <w:t xml:space="preserve"> y con un ratio combinado del 87,9%.</w:t>
      </w:r>
    </w:p>
    <w:p w:rsidR="00DA341F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</w:p>
    <w:p w:rsidR="00C171C0" w:rsidRDefault="00DA341F" w:rsidP="00C171C0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  <w:lang w:val="es-ES_tradnl"/>
        </w:rPr>
      </w:pP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Es también </w:t>
      </w:r>
      <w:r>
        <w:rPr>
          <w:rFonts w:cs="Bankinter"/>
          <w:color w:val="000000" w:themeColor="text1"/>
          <w:sz w:val="20"/>
          <w:szCs w:val="20"/>
          <w:lang w:val="es-ES_tradnl"/>
        </w:rPr>
        <w:t xml:space="preserve">para destacar 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la evolución </w:t>
      </w:r>
      <w:r>
        <w:rPr>
          <w:rFonts w:cs="Bankinter"/>
          <w:color w:val="000000" w:themeColor="text1"/>
          <w:sz w:val="20"/>
          <w:szCs w:val="20"/>
          <w:lang w:val="es-ES_tradnl"/>
        </w:rPr>
        <w:t>del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 negocio de Financiación al Consumo, operado a través de Bankinter </w:t>
      </w:r>
      <w:proofErr w:type="spellStart"/>
      <w:r w:rsidRPr="00925C85">
        <w:rPr>
          <w:rFonts w:cs="Bankinter"/>
          <w:color w:val="000000" w:themeColor="text1"/>
          <w:sz w:val="20"/>
          <w:szCs w:val="20"/>
          <w:lang w:val="es-ES_tradnl"/>
        </w:rPr>
        <w:t>Consumer</w:t>
      </w:r>
      <w:proofErr w:type="spellEnd"/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 </w:t>
      </w:r>
      <w:proofErr w:type="spellStart"/>
      <w:r w:rsidRPr="00925C85">
        <w:rPr>
          <w:rFonts w:cs="Bankinter"/>
          <w:color w:val="000000" w:themeColor="text1"/>
          <w:sz w:val="20"/>
          <w:szCs w:val="20"/>
          <w:lang w:val="es-ES_tradnl"/>
        </w:rPr>
        <w:t>Finance</w:t>
      </w:r>
      <w:proofErr w:type="spellEnd"/>
      <w:r w:rsidRPr="00925C85">
        <w:rPr>
          <w:rFonts w:cs="Bankinter"/>
          <w:color w:val="000000" w:themeColor="text1"/>
          <w:sz w:val="20"/>
          <w:szCs w:val="20"/>
          <w:lang w:val="es-ES_tradnl"/>
        </w:rPr>
        <w:t>. Esta filial</w:t>
      </w:r>
      <w:r>
        <w:rPr>
          <w:rFonts w:cs="Bankinter"/>
          <w:color w:val="000000" w:themeColor="text1"/>
          <w:sz w:val="20"/>
          <w:szCs w:val="20"/>
          <w:lang w:val="es-ES_tradnl"/>
        </w:rPr>
        <w:t xml:space="preserve"> -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que realizó recientemente el lanzamiento de su tarjeta </w:t>
      </w:r>
      <w:proofErr w:type="spellStart"/>
      <w:r w:rsidRPr="00925C85">
        <w:rPr>
          <w:rFonts w:cs="Bankinter"/>
          <w:color w:val="000000" w:themeColor="text1"/>
          <w:sz w:val="20"/>
          <w:szCs w:val="20"/>
          <w:lang w:val="es-ES_tradnl"/>
        </w:rPr>
        <w:t>bankintercard</w:t>
      </w:r>
      <w:proofErr w:type="spellEnd"/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 en Portugal y que en España se sitúa </w:t>
      </w:r>
      <w:r>
        <w:rPr>
          <w:rFonts w:cs="Bankinter"/>
          <w:color w:val="000000" w:themeColor="text1"/>
          <w:sz w:val="20"/>
          <w:szCs w:val="20"/>
          <w:lang w:val="es-ES_tradnl"/>
        </w:rPr>
        <w:t xml:space="preserve">ya 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en los primeros puestos del </w:t>
      </w:r>
      <w:r>
        <w:rPr>
          <w:rFonts w:cs="Bankinter"/>
          <w:color w:val="000000" w:themeColor="text1"/>
          <w:sz w:val="20"/>
          <w:szCs w:val="20"/>
          <w:lang w:val="es-ES_tradnl"/>
        </w:rPr>
        <w:t>ranking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 del consumo</w:t>
      </w:r>
      <w:r>
        <w:rPr>
          <w:rFonts w:cs="Bankinter"/>
          <w:color w:val="000000" w:themeColor="text1"/>
          <w:sz w:val="20"/>
          <w:szCs w:val="20"/>
          <w:lang w:val="es-ES_tradnl"/>
        </w:rPr>
        <w:t>-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 suma una cartera total de 1,1 millones de clientes, un 23% más </w:t>
      </w:r>
      <w:r>
        <w:rPr>
          <w:rFonts w:cs="Bankinter"/>
          <w:color w:val="000000" w:themeColor="text1"/>
          <w:sz w:val="20"/>
          <w:szCs w:val="20"/>
          <w:lang w:val="es-ES_tradnl"/>
        </w:rPr>
        <w:t>que hace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 xml:space="preserve"> doce meses. Asimismo, la inversión llega hasta los 1.600 millones de euros, lo que representa un crecimiento del 43% sobre la m</w:t>
      </w:r>
      <w:r>
        <w:rPr>
          <w:rFonts w:cs="Bankinter"/>
          <w:color w:val="000000" w:themeColor="text1"/>
          <w:sz w:val="20"/>
          <w:szCs w:val="20"/>
          <w:lang w:val="es-ES_tradnl"/>
        </w:rPr>
        <w:t>isma cifra a 31 de marzo de 2017</w:t>
      </w:r>
      <w:r w:rsidRPr="00925C85">
        <w:rPr>
          <w:rFonts w:cs="Bankinter"/>
          <w:color w:val="000000" w:themeColor="text1"/>
          <w:sz w:val="20"/>
          <w:szCs w:val="20"/>
          <w:lang w:val="es-ES_tradnl"/>
        </w:rPr>
        <w:t>.</w:t>
      </w:r>
    </w:p>
    <w:p w:rsidR="00C171C0" w:rsidRDefault="00C171C0" w:rsidP="00C171C0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  <w:lang w:val="es-ES_tradnl"/>
        </w:rPr>
      </w:pPr>
    </w:p>
    <w:p w:rsidR="00C171C0" w:rsidRPr="00C171C0" w:rsidRDefault="00C171C0" w:rsidP="00C171C0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  <w:r w:rsidRPr="00C171C0">
        <w:rPr>
          <w:rFonts w:cs="Bankinter"/>
          <w:color w:val="000000" w:themeColor="text1"/>
          <w:sz w:val="20"/>
          <w:szCs w:val="20"/>
        </w:rPr>
        <w:t>En lo referente a Bankinter Portugal, cuya actividad supone ya el 7% del margen bruto del Grupo, ha tenido un inicio de año muy interesante. La inversión crediticia asciende a 5.000 millones de euros, lo que supone un 7% de incremento contra marzo de 2017. Asimismo, aunque los recursos han disminuido un 5% en estos doce meses, hasta alcanzar 3.900 millones de euros, han dado muestras de franca recuperación en este primer trimestre del año. En cuanto a los recursos fuera de balance, sí han experimentado en el último año un crecimiento notable, del 19%</w:t>
      </w:r>
      <w:r w:rsidR="00964CBA">
        <w:rPr>
          <w:rFonts w:cs="Bankinter"/>
          <w:color w:val="000000" w:themeColor="text1"/>
          <w:sz w:val="20"/>
          <w:szCs w:val="20"/>
        </w:rPr>
        <w:t>.</w:t>
      </w:r>
    </w:p>
    <w:p w:rsidR="00DA341F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</w:p>
    <w:p w:rsidR="00DA341F" w:rsidRPr="00CB105D" w:rsidRDefault="00DA341F" w:rsidP="00DA341F">
      <w:pPr>
        <w:autoSpaceDE w:val="0"/>
        <w:autoSpaceDN w:val="0"/>
        <w:adjustRightInd w:val="0"/>
        <w:spacing w:after="0" w:line="240" w:lineRule="auto"/>
        <w:jc w:val="both"/>
        <w:rPr>
          <w:rFonts w:cs="Bankinter"/>
          <w:color w:val="000000" w:themeColor="text1"/>
          <w:sz w:val="20"/>
          <w:szCs w:val="20"/>
        </w:rPr>
      </w:pPr>
      <w:r w:rsidRPr="00CB105D">
        <w:rPr>
          <w:rFonts w:cs="Bankinter"/>
          <w:color w:val="000000" w:themeColor="text1"/>
          <w:sz w:val="20"/>
          <w:szCs w:val="20"/>
        </w:rPr>
        <w:t>Con todo ello, el margen bruto de Bankinter Portugal alcanza al 31 de marzo de 2018 los 34,4 millones de euros; y con un beneficio antes de impuestos de 19 millones, confirmando la positiva contribución de la filial a los resultados del Grupo.</w:t>
      </w:r>
    </w:p>
    <w:p w:rsidR="00AD2CED" w:rsidRPr="007B1B63" w:rsidRDefault="00AD2CED" w:rsidP="005B4CD4">
      <w:pPr>
        <w:spacing w:after="0" w:line="240" w:lineRule="auto"/>
        <w:jc w:val="both"/>
        <w:rPr>
          <w:rFonts w:cs="Bankinter"/>
          <w:color w:val="0070C0"/>
          <w:sz w:val="20"/>
          <w:szCs w:val="20"/>
        </w:rPr>
      </w:pPr>
    </w:p>
    <w:p w:rsidR="00DA341F" w:rsidRPr="00FB79C5" w:rsidRDefault="00FB79C5" w:rsidP="00DA341F">
      <w:pPr>
        <w:spacing w:after="0" w:line="240" w:lineRule="auto"/>
        <w:jc w:val="both"/>
        <w:rPr>
          <w:rFonts w:cs="Bankinter"/>
          <w:b/>
          <w:color w:val="000000" w:themeColor="text1"/>
          <w:sz w:val="20"/>
          <w:szCs w:val="20"/>
          <w:u w:val="single"/>
          <w:lang w:val="es-ES_tradnl"/>
        </w:rPr>
      </w:pPr>
      <w:r w:rsidRPr="00FB79C5">
        <w:rPr>
          <w:rFonts w:cs="Bankinter"/>
          <w:b/>
          <w:color w:val="000000" w:themeColor="text1"/>
          <w:sz w:val="20"/>
          <w:szCs w:val="20"/>
          <w:u w:val="single"/>
          <w:lang w:val="es-ES_tradnl"/>
        </w:rPr>
        <w:t>Apuesta por la d</w:t>
      </w:r>
      <w:r w:rsidR="00AD2CED" w:rsidRPr="00FB79C5">
        <w:rPr>
          <w:rFonts w:cs="Bankinter"/>
          <w:b/>
          <w:color w:val="000000" w:themeColor="text1"/>
          <w:sz w:val="20"/>
          <w:szCs w:val="20"/>
          <w:u w:val="single"/>
          <w:lang w:val="es-ES_tradnl"/>
        </w:rPr>
        <w:t>igitalización</w:t>
      </w:r>
      <w:r w:rsidRPr="00FB79C5">
        <w:rPr>
          <w:rFonts w:cs="Bankinter"/>
          <w:b/>
          <w:color w:val="000000" w:themeColor="text1"/>
          <w:sz w:val="20"/>
          <w:szCs w:val="20"/>
          <w:u w:val="single"/>
          <w:lang w:val="es-ES_tradnl"/>
        </w:rPr>
        <w:t>.</w:t>
      </w:r>
    </w:p>
    <w:p w:rsidR="00DA341F" w:rsidRDefault="00DA341F" w:rsidP="00DA341F">
      <w:pPr>
        <w:spacing w:after="0" w:line="240" w:lineRule="auto"/>
        <w:jc w:val="both"/>
        <w:rPr>
          <w:rFonts w:cs="Bankinter"/>
          <w:b/>
          <w:color w:val="0070C0"/>
          <w:sz w:val="20"/>
          <w:szCs w:val="20"/>
          <w:u w:val="single"/>
          <w:lang w:val="es-ES_tradnl"/>
        </w:rPr>
      </w:pPr>
    </w:p>
    <w:p w:rsidR="00DA341F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  <w:lang w:val="es-ES_tradnl"/>
        </w:rPr>
      </w:pPr>
      <w:r w:rsidRPr="008038D6">
        <w:rPr>
          <w:rFonts w:cs="Bankinter"/>
          <w:color w:val="000000" w:themeColor="text1"/>
          <w:sz w:val="20"/>
          <w:szCs w:val="20"/>
          <w:lang w:val="es-ES_tradnl"/>
        </w:rPr>
        <w:t xml:space="preserve">Por último, cabe mencionar los datos de la actividad digital de Bankinter, que cuenta con una base de clientes que utiliza mayoritaria y habitualmente los canales digitales en su relación con el banco.  Así, un 91,2% de los clientes utilizan estos canales digitales </w:t>
      </w:r>
      <w:r>
        <w:rPr>
          <w:rFonts w:cs="Bankinter"/>
          <w:color w:val="000000" w:themeColor="text1"/>
          <w:sz w:val="20"/>
          <w:szCs w:val="20"/>
          <w:lang w:val="es-ES_tradnl"/>
        </w:rPr>
        <w:t>o bien de forma</w:t>
      </w:r>
      <w:r w:rsidRPr="008038D6">
        <w:rPr>
          <w:rFonts w:cs="Bankinter"/>
          <w:color w:val="000000" w:themeColor="text1"/>
          <w:sz w:val="20"/>
          <w:szCs w:val="20"/>
          <w:lang w:val="es-ES_tradnl"/>
        </w:rPr>
        <w:t xml:space="preserve"> exclusiva o bien en combinación con otros canales del banco. Son destacables también las ventas realizadas a través de canales digitales, que varían en función de los di</w:t>
      </w:r>
      <w:r w:rsidR="00964CBA">
        <w:rPr>
          <w:rFonts w:cs="Bankinter"/>
          <w:color w:val="000000" w:themeColor="text1"/>
          <w:sz w:val="20"/>
          <w:szCs w:val="20"/>
          <w:lang w:val="es-ES_tradnl"/>
        </w:rPr>
        <w:t xml:space="preserve">ferentes productos. </w:t>
      </w:r>
      <w:r w:rsidRPr="008038D6">
        <w:rPr>
          <w:rFonts w:cs="Bankinter"/>
          <w:color w:val="000000" w:themeColor="text1"/>
          <w:sz w:val="20"/>
          <w:szCs w:val="20"/>
          <w:lang w:val="es-ES_tradnl"/>
        </w:rPr>
        <w:t>Así, un 97% del negocio de renta varia</w:t>
      </w:r>
      <w:r w:rsidR="00964CBA">
        <w:rPr>
          <w:rFonts w:cs="Bankinter"/>
          <w:color w:val="000000" w:themeColor="text1"/>
          <w:sz w:val="20"/>
          <w:szCs w:val="20"/>
          <w:lang w:val="es-ES_tradnl"/>
        </w:rPr>
        <w:t>ble se realiza de forma digital. Y</w:t>
      </w:r>
      <w:r w:rsidRPr="008038D6">
        <w:rPr>
          <w:rFonts w:cs="Bankinter"/>
          <w:color w:val="000000" w:themeColor="text1"/>
          <w:sz w:val="20"/>
          <w:szCs w:val="20"/>
          <w:lang w:val="es-ES_tradnl"/>
        </w:rPr>
        <w:t xml:space="preserve"> fueron contratados por esta vía un 80% de los </w:t>
      </w:r>
      <w:r w:rsidRPr="008038D6">
        <w:rPr>
          <w:rFonts w:cs="Bankinter"/>
          <w:color w:val="000000" w:themeColor="text1"/>
          <w:sz w:val="20"/>
          <w:szCs w:val="20"/>
          <w:lang w:val="es-ES_tradnl"/>
        </w:rPr>
        <w:lastRenderedPageBreak/>
        <w:t>depósitos, un 85% de los préstamos al consumo y un 36% de los seguros de hogar, entre otros.</w:t>
      </w:r>
    </w:p>
    <w:p w:rsidR="00DA341F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  <w:lang w:val="es-ES_tradnl"/>
        </w:rPr>
      </w:pPr>
    </w:p>
    <w:p w:rsidR="00DA341F" w:rsidRPr="008038D6" w:rsidRDefault="00DA341F" w:rsidP="00DA341F">
      <w:pPr>
        <w:spacing w:after="0" w:line="240" w:lineRule="auto"/>
        <w:jc w:val="both"/>
        <w:rPr>
          <w:rFonts w:cs="Bankinter"/>
          <w:color w:val="000000" w:themeColor="text1"/>
          <w:sz w:val="20"/>
          <w:szCs w:val="20"/>
          <w:lang w:val="es-ES_tradnl"/>
        </w:rPr>
      </w:pPr>
      <w:r w:rsidRPr="008038D6">
        <w:rPr>
          <w:rFonts w:cs="Bankinter"/>
          <w:color w:val="000000" w:themeColor="text1"/>
          <w:sz w:val="20"/>
          <w:szCs w:val="20"/>
          <w:lang w:val="es-ES_tradnl"/>
        </w:rPr>
        <w:t xml:space="preserve">Entre los principales servicios lanzados por el banco en los últimos meses </w:t>
      </w:r>
      <w:r>
        <w:rPr>
          <w:rFonts w:cs="Bankinter"/>
          <w:color w:val="000000" w:themeColor="text1"/>
          <w:sz w:val="20"/>
          <w:szCs w:val="20"/>
          <w:lang w:val="es-ES_tradnl"/>
        </w:rPr>
        <w:t>destacan</w:t>
      </w:r>
      <w:r w:rsidRPr="008038D6">
        <w:rPr>
          <w:rFonts w:cs="Bankinter"/>
          <w:color w:val="000000" w:themeColor="text1"/>
          <w:sz w:val="20"/>
          <w:szCs w:val="20"/>
          <w:lang w:val="es-ES_tradnl"/>
        </w:rPr>
        <w:t xml:space="preserve"> Popcoin, un servicio automatizado de gestión de carteras de fondos para cualquier inversor, que en su breve trayectoria suma ya 730 carteras y 2,7 millones de activos bajo gestión. O la hipoteca digital </w:t>
      </w:r>
      <w:proofErr w:type="spellStart"/>
      <w:r w:rsidRPr="008038D6">
        <w:rPr>
          <w:rFonts w:cs="Bankinter"/>
          <w:color w:val="000000" w:themeColor="text1"/>
          <w:sz w:val="20"/>
          <w:szCs w:val="20"/>
          <w:lang w:val="es-ES_tradnl"/>
        </w:rPr>
        <w:t>Coinc</w:t>
      </w:r>
      <w:proofErr w:type="spellEnd"/>
      <w:r w:rsidRPr="008038D6">
        <w:rPr>
          <w:rFonts w:cs="Bankinter"/>
          <w:color w:val="000000" w:themeColor="text1"/>
          <w:sz w:val="20"/>
          <w:szCs w:val="20"/>
          <w:lang w:val="es-ES_tradnl"/>
        </w:rPr>
        <w:t xml:space="preserve">, la primera del mercado 100% </w:t>
      </w:r>
      <w:proofErr w:type="spellStart"/>
      <w:r w:rsidRPr="008038D6">
        <w:rPr>
          <w:rFonts w:cs="Bankinter"/>
          <w:color w:val="000000" w:themeColor="text1"/>
          <w:sz w:val="20"/>
          <w:szCs w:val="20"/>
          <w:lang w:val="es-ES_tradnl"/>
        </w:rPr>
        <w:t>on</w:t>
      </w:r>
      <w:proofErr w:type="spellEnd"/>
      <w:r w:rsidRPr="008038D6">
        <w:rPr>
          <w:rFonts w:cs="Bankinter"/>
          <w:color w:val="000000" w:themeColor="text1"/>
          <w:sz w:val="20"/>
          <w:szCs w:val="20"/>
          <w:lang w:val="es-ES_tradnl"/>
        </w:rPr>
        <w:t xml:space="preserve"> line, de la que ya se han realizado 5.000 simulaciones, firmándose hipotecas por </w:t>
      </w:r>
      <w:r>
        <w:rPr>
          <w:rFonts w:cs="Bankinter"/>
          <w:color w:val="000000" w:themeColor="text1"/>
          <w:sz w:val="20"/>
          <w:szCs w:val="20"/>
          <w:lang w:val="es-ES_tradnl"/>
        </w:rPr>
        <w:t xml:space="preserve">valor de </w:t>
      </w:r>
      <w:r w:rsidRPr="008038D6">
        <w:rPr>
          <w:rFonts w:cs="Bankinter"/>
          <w:color w:val="000000" w:themeColor="text1"/>
          <w:sz w:val="20"/>
          <w:szCs w:val="20"/>
          <w:lang w:val="es-ES_tradnl"/>
        </w:rPr>
        <w:t>4,6 millones de euros. Para contratar ambos productos no es necesario ser cliente</w:t>
      </w:r>
      <w:r>
        <w:rPr>
          <w:rFonts w:cs="Bankinter"/>
          <w:color w:val="000000" w:themeColor="text1"/>
          <w:sz w:val="20"/>
          <w:szCs w:val="20"/>
          <w:lang w:val="es-ES_tradnl"/>
        </w:rPr>
        <w:t xml:space="preserve"> de B</w:t>
      </w:r>
      <w:r w:rsidRPr="008038D6">
        <w:rPr>
          <w:rFonts w:cs="Bankinter"/>
          <w:color w:val="000000" w:themeColor="text1"/>
          <w:sz w:val="20"/>
          <w:szCs w:val="20"/>
          <w:lang w:val="es-ES_tradnl"/>
        </w:rPr>
        <w:t xml:space="preserve">ankinter ni contratar otros productos. </w:t>
      </w:r>
    </w:p>
    <w:p w:rsidR="00AD2CED" w:rsidRPr="007B1B63" w:rsidRDefault="00AD2CED" w:rsidP="005B4CD4">
      <w:pPr>
        <w:spacing w:after="0" w:line="240" w:lineRule="auto"/>
        <w:jc w:val="both"/>
        <w:rPr>
          <w:color w:val="0070C0"/>
          <w:sz w:val="20"/>
          <w:szCs w:val="20"/>
        </w:rPr>
      </w:pPr>
    </w:p>
    <w:p w:rsidR="00E37624" w:rsidRPr="007B1B63" w:rsidRDefault="00E37624" w:rsidP="004526E2">
      <w:pPr>
        <w:spacing w:after="0" w:line="240" w:lineRule="auto"/>
        <w:jc w:val="both"/>
        <w:rPr>
          <w:rFonts w:cs="Bankinter"/>
          <w:color w:val="0070C0"/>
          <w:sz w:val="20"/>
          <w:szCs w:val="20"/>
          <w:lang w:val="es-ES_tradnl"/>
        </w:rPr>
      </w:pPr>
    </w:p>
    <w:sectPr w:rsidR="00E37624" w:rsidRPr="007B1B63" w:rsidSect="00894AB8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394" w:rsidRDefault="007F5394" w:rsidP="00A2498F">
      <w:pPr>
        <w:spacing w:after="0" w:line="240" w:lineRule="auto"/>
      </w:pPr>
      <w:r>
        <w:separator/>
      </w:r>
    </w:p>
  </w:endnote>
  <w:endnote w:type="continuationSeparator" w:id="0">
    <w:p w:rsidR="007F5394" w:rsidRDefault="007F5394" w:rsidP="00A24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nkinter">
    <w:panose1 w:val="00000000000000000000"/>
    <w:charset w:val="00"/>
    <w:family w:val="auto"/>
    <w:pitch w:val="variable"/>
    <w:sig w:usb0="800000AF" w:usb1="1000204B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566720"/>
      <w:docPartObj>
        <w:docPartGallery w:val="Page Numbers (Bottom of Page)"/>
        <w:docPartUnique/>
      </w:docPartObj>
    </w:sdtPr>
    <w:sdtEndPr/>
    <w:sdtContent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322"/>
          <w:gridCol w:w="4322"/>
        </w:tblGrid>
        <w:tr w:rsidR="00677C94" w:rsidRPr="00A2498F" w:rsidTr="00A2498F">
          <w:tc>
            <w:tcPr>
              <w:tcW w:w="4322" w:type="dxa"/>
            </w:tcPr>
            <w:p w:rsidR="00677C94" w:rsidRDefault="00677C94" w:rsidP="00A2498F">
              <w:pPr>
                <w:pStyle w:val="Piedepgina"/>
              </w:pPr>
            </w:p>
          </w:tc>
          <w:tc>
            <w:tcPr>
              <w:tcW w:w="4322" w:type="dxa"/>
            </w:tcPr>
            <w:p w:rsidR="00677C94" w:rsidRPr="00A2498F" w:rsidRDefault="00677C94" w:rsidP="00A2498F">
              <w:pPr>
                <w:pStyle w:val="Piedepgina"/>
                <w:jc w:val="right"/>
                <w:rPr>
                  <w:sz w:val="20"/>
                  <w:szCs w:val="20"/>
                </w:rPr>
              </w:pPr>
            </w:p>
          </w:tc>
        </w:tr>
      </w:tbl>
      <w:p w:rsidR="00677C94" w:rsidRDefault="00A83402">
        <w:pPr>
          <w:pStyle w:val="Piedepgina"/>
          <w:jc w:val="right"/>
        </w:pPr>
      </w:p>
    </w:sdtContent>
  </w:sdt>
  <w:p w:rsidR="00677C94" w:rsidRDefault="00677C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394" w:rsidRDefault="007F5394" w:rsidP="00A2498F">
      <w:pPr>
        <w:spacing w:after="0" w:line="240" w:lineRule="auto"/>
      </w:pPr>
      <w:r>
        <w:separator/>
      </w:r>
    </w:p>
  </w:footnote>
  <w:footnote w:type="continuationSeparator" w:id="0">
    <w:p w:rsidR="007F5394" w:rsidRDefault="007F5394" w:rsidP="00A249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E6384"/>
    <w:multiLevelType w:val="hybridMultilevel"/>
    <w:tmpl w:val="262268CC"/>
    <w:lvl w:ilvl="0" w:tplc="87C04F28">
      <w:start w:val="1"/>
      <w:numFmt w:val="decimal"/>
      <w:lvlText w:val="%1-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CB6DAA"/>
    <w:multiLevelType w:val="multilevel"/>
    <w:tmpl w:val="E60A9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0731C7F"/>
    <w:multiLevelType w:val="hybridMultilevel"/>
    <w:tmpl w:val="B7AE3EAC"/>
    <w:lvl w:ilvl="0" w:tplc="C1E26F48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CE02F2"/>
    <w:multiLevelType w:val="hybridMultilevel"/>
    <w:tmpl w:val="3EE67EF2"/>
    <w:lvl w:ilvl="0" w:tplc="AACAB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4E96B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645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D6A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1032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F481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16CA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404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D05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21E33D7"/>
    <w:multiLevelType w:val="multilevel"/>
    <w:tmpl w:val="06AA2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loria Hernandez Garcia">
    <w15:presenceInfo w15:providerId="AD" w15:userId="S-1-5-21-89404532-2041541122-1235820382-10741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4CE"/>
    <w:rsid w:val="000110DC"/>
    <w:rsid w:val="00015538"/>
    <w:rsid w:val="00026DCE"/>
    <w:rsid w:val="000639ED"/>
    <w:rsid w:val="00067D33"/>
    <w:rsid w:val="000756EA"/>
    <w:rsid w:val="00080871"/>
    <w:rsid w:val="000A16A7"/>
    <w:rsid w:val="000A59BD"/>
    <w:rsid w:val="000B36EB"/>
    <w:rsid w:val="000C33EE"/>
    <w:rsid w:val="000E1C32"/>
    <w:rsid w:val="00105CC8"/>
    <w:rsid w:val="00130076"/>
    <w:rsid w:val="00144949"/>
    <w:rsid w:val="00152186"/>
    <w:rsid w:val="00177015"/>
    <w:rsid w:val="001813C1"/>
    <w:rsid w:val="00184616"/>
    <w:rsid w:val="00186A56"/>
    <w:rsid w:val="001E2CB2"/>
    <w:rsid w:val="001F4DD6"/>
    <w:rsid w:val="0020476B"/>
    <w:rsid w:val="002173F8"/>
    <w:rsid w:val="00230FD0"/>
    <w:rsid w:val="00245503"/>
    <w:rsid w:val="002516BD"/>
    <w:rsid w:val="00262BAF"/>
    <w:rsid w:val="0027532F"/>
    <w:rsid w:val="002774CA"/>
    <w:rsid w:val="00280E5D"/>
    <w:rsid w:val="002A0E43"/>
    <w:rsid w:val="002A353E"/>
    <w:rsid w:val="002A4AC2"/>
    <w:rsid w:val="002B24CE"/>
    <w:rsid w:val="002C345E"/>
    <w:rsid w:val="00306FC7"/>
    <w:rsid w:val="00323411"/>
    <w:rsid w:val="00325BEF"/>
    <w:rsid w:val="003519FE"/>
    <w:rsid w:val="003B1717"/>
    <w:rsid w:val="003C5C35"/>
    <w:rsid w:val="003F56B9"/>
    <w:rsid w:val="0040210C"/>
    <w:rsid w:val="00412D20"/>
    <w:rsid w:val="00416C61"/>
    <w:rsid w:val="00430C42"/>
    <w:rsid w:val="00432B22"/>
    <w:rsid w:val="004526E2"/>
    <w:rsid w:val="0049153A"/>
    <w:rsid w:val="00493AD6"/>
    <w:rsid w:val="004A7346"/>
    <w:rsid w:val="004B6011"/>
    <w:rsid w:val="004B6DCE"/>
    <w:rsid w:val="004D6ABC"/>
    <w:rsid w:val="004F5DE8"/>
    <w:rsid w:val="00541C67"/>
    <w:rsid w:val="005557E1"/>
    <w:rsid w:val="00563227"/>
    <w:rsid w:val="005735D2"/>
    <w:rsid w:val="00582863"/>
    <w:rsid w:val="00594028"/>
    <w:rsid w:val="005B4CD4"/>
    <w:rsid w:val="005B62EF"/>
    <w:rsid w:val="005B67E8"/>
    <w:rsid w:val="005D1BC4"/>
    <w:rsid w:val="005E4AE4"/>
    <w:rsid w:val="006071A9"/>
    <w:rsid w:val="00630CFA"/>
    <w:rsid w:val="00635F56"/>
    <w:rsid w:val="006630F5"/>
    <w:rsid w:val="006753E7"/>
    <w:rsid w:val="00677C94"/>
    <w:rsid w:val="00680C40"/>
    <w:rsid w:val="006B065A"/>
    <w:rsid w:val="006D0B19"/>
    <w:rsid w:val="006D47D0"/>
    <w:rsid w:val="006E1ABD"/>
    <w:rsid w:val="006E6932"/>
    <w:rsid w:val="006F3B66"/>
    <w:rsid w:val="00706C4D"/>
    <w:rsid w:val="00713ABE"/>
    <w:rsid w:val="00717E22"/>
    <w:rsid w:val="00726B30"/>
    <w:rsid w:val="00756BF7"/>
    <w:rsid w:val="00786723"/>
    <w:rsid w:val="007A3042"/>
    <w:rsid w:val="007A3CC2"/>
    <w:rsid w:val="007B1B63"/>
    <w:rsid w:val="007C3DE6"/>
    <w:rsid w:val="007E0682"/>
    <w:rsid w:val="007E0ED8"/>
    <w:rsid w:val="007F5394"/>
    <w:rsid w:val="0081669D"/>
    <w:rsid w:val="0081686E"/>
    <w:rsid w:val="008259E5"/>
    <w:rsid w:val="00842A3E"/>
    <w:rsid w:val="00861097"/>
    <w:rsid w:val="00894AB8"/>
    <w:rsid w:val="008A5DBF"/>
    <w:rsid w:val="008B3B5C"/>
    <w:rsid w:val="008C5989"/>
    <w:rsid w:val="008C6D97"/>
    <w:rsid w:val="008F0977"/>
    <w:rsid w:val="008F4B03"/>
    <w:rsid w:val="009005A3"/>
    <w:rsid w:val="00913786"/>
    <w:rsid w:val="009216AE"/>
    <w:rsid w:val="00946271"/>
    <w:rsid w:val="009513A0"/>
    <w:rsid w:val="00964CBA"/>
    <w:rsid w:val="00972038"/>
    <w:rsid w:val="009A3886"/>
    <w:rsid w:val="009A3BFD"/>
    <w:rsid w:val="009A663A"/>
    <w:rsid w:val="009C50DE"/>
    <w:rsid w:val="009C6386"/>
    <w:rsid w:val="00A047D5"/>
    <w:rsid w:val="00A202A1"/>
    <w:rsid w:val="00A2498F"/>
    <w:rsid w:val="00A31D24"/>
    <w:rsid w:val="00A53884"/>
    <w:rsid w:val="00A6653A"/>
    <w:rsid w:val="00A83402"/>
    <w:rsid w:val="00A95FD0"/>
    <w:rsid w:val="00AD06BF"/>
    <w:rsid w:val="00AD2CED"/>
    <w:rsid w:val="00AE26A4"/>
    <w:rsid w:val="00AF1C29"/>
    <w:rsid w:val="00B306CE"/>
    <w:rsid w:val="00B44BAA"/>
    <w:rsid w:val="00B46143"/>
    <w:rsid w:val="00B52EF2"/>
    <w:rsid w:val="00B66053"/>
    <w:rsid w:val="00B861AC"/>
    <w:rsid w:val="00BB7025"/>
    <w:rsid w:val="00BC7B1F"/>
    <w:rsid w:val="00C056C0"/>
    <w:rsid w:val="00C171C0"/>
    <w:rsid w:val="00C273AD"/>
    <w:rsid w:val="00C3024B"/>
    <w:rsid w:val="00C60413"/>
    <w:rsid w:val="00C66CC7"/>
    <w:rsid w:val="00C7679D"/>
    <w:rsid w:val="00C814AE"/>
    <w:rsid w:val="00C82347"/>
    <w:rsid w:val="00C87440"/>
    <w:rsid w:val="00CA37C1"/>
    <w:rsid w:val="00CA39E2"/>
    <w:rsid w:val="00CB452E"/>
    <w:rsid w:val="00CB7992"/>
    <w:rsid w:val="00CC56D8"/>
    <w:rsid w:val="00CE702D"/>
    <w:rsid w:val="00CE7EA9"/>
    <w:rsid w:val="00CF3FE8"/>
    <w:rsid w:val="00D05718"/>
    <w:rsid w:val="00D46CDB"/>
    <w:rsid w:val="00D516D1"/>
    <w:rsid w:val="00D61FB1"/>
    <w:rsid w:val="00D66B83"/>
    <w:rsid w:val="00D72C10"/>
    <w:rsid w:val="00D957AF"/>
    <w:rsid w:val="00D95F35"/>
    <w:rsid w:val="00DA1050"/>
    <w:rsid w:val="00DA341F"/>
    <w:rsid w:val="00DB37A5"/>
    <w:rsid w:val="00DD00EE"/>
    <w:rsid w:val="00DD276D"/>
    <w:rsid w:val="00DF0722"/>
    <w:rsid w:val="00E14404"/>
    <w:rsid w:val="00E31A92"/>
    <w:rsid w:val="00E35464"/>
    <w:rsid w:val="00E37624"/>
    <w:rsid w:val="00E477E5"/>
    <w:rsid w:val="00E56975"/>
    <w:rsid w:val="00E7338D"/>
    <w:rsid w:val="00E977E2"/>
    <w:rsid w:val="00E97909"/>
    <w:rsid w:val="00EB0905"/>
    <w:rsid w:val="00EB18A2"/>
    <w:rsid w:val="00EC003B"/>
    <w:rsid w:val="00EC7149"/>
    <w:rsid w:val="00F8052B"/>
    <w:rsid w:val="00F90AB2"/>
    <w:rsid w:val="00FB79C5"/>
    <w:rsid w:val="00FC1F13"/>
    <w:rsid w:val="00FE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73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56600" w:themeColor="text2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35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56600" w:themeColor="text2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35D2"/>
    <w:rPr>
      <w:rFonts w:asciiTheme="majorHAnsi" w:eastAsiaTheme="majorEastAsia" w:hAnsiTheme="majorHAnsi" w:cstheme="majorBidi"/>
      <w:b/>
      <w:bCs/>
      <w:color w:val="F56600" w:themeColor="text2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35D2"/>
    <w:rPr>
      <w:rFonts w:asciiTheme="majorHAnsi" w:eastAsiaTheme="majorEastAsia" w:hAnsiTheme="majorHAnsi" w:cstheme="majorBidi"/>
      <w:b/>
      <w:bCs/>
      <w:color w:val="F56600" w:themeColor="text2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5735D2"/>
    <w:pPr>
      <w:pBdr>
        <w:bottom w:val="single" w:sz="8" w:space="4" w:color="FFFF9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3544A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5735D2"/>
    <w:rPr>
      <w:rFonts w:asciiTheme="majorHAnsi" w:eastAsiaTheme="majorEastAsia" w:hAnsiTheme="majorHAnsi" w:cstheme="majorBidi"/>
      <w:color w:val="63544A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5735D2"/>
    <w:pPr>
      <w:numPr>
        <w:ilvl w:val="1"/>
      </w:numPr>
    </w:pPr>
    <w:rPr>
      <w:rFonts w:asciiTheme="majorHAnsi" w:eastAsiaTheme="majorEastAsia" w:hAnsiTheme="majorHAnsi" w:cstheme="majorBidi"/>
      <w:i/>
      <w:iCs/>
      <w:color w:val="F56600" w:themeColor="text2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735D2"/>
    <w:rPr>
      <w:rFonts w:asciiTheme="majorHAnsi" w:eastAsiaTheme="majorEastAsia" w:hAnsiTheme="majorHAnsi" w:cstheme="majorBidi"/>
      <w:i/>
      <w:iCs/>
      <w:color w:val="F56600" w:themeColor="text2"/>
      <w:spacing w:val="15"/>
      <w:sz w:val="24"/>
      <w:szCs w:val="24"/>
    </w:rPr>
  </w:style>
  <w:style w:type="character" w:styleId="nfasisintenso">
    <w:name w:val="Intense Emphasis"/>
    <w:basedOn w:val="Fuentedeprrafopredeter"/>
    <w:uiPriority w:val="21"/>
    <w:qFormat/>
    <w:rsid w:val="005735D2"/>
    <w:rPr>
      <w:b/>
      <w:bCs/>
      <w:i/>
      <w:iCs/>
      <w:color w:val="F56600" w:themeColor="text2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35D2"/>
    <w:pPr>
      <w:pBdr>
        <w:bottom w:val="single" w:sz="4" w:space="4" w:color="FFFF99" w:themeColor="accent1"/>
      </w:pBdr>
      <w:spacing w:before="200" w:after="280"/>
      <w:ind w:left="936" w:right="936"/>
    </w:pPr>
    <w:rPr>
      <w:b/>
      <w:bCs/>
      <w:i/>
      <w:iCs/>
      <w:color w:val="F56600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35D2"/>
    <w:rPr>
      <w:b/>
      <w:bCs/>
      <w:i/>
      <w:iCs/>
      <w:color w:val="F56600" w:themeColor="text2"/>
    </w:rPr>
  </w:style>
  <w:style w:type="table" w:styleId="Tablaconcuadrcula">
    <w:name w:val="Table Grid"/>
    <w:basedOn w:val="Tablanormal"/>
    <w:uiPriority w:val="59"/>
    <w:rsid w:val="001300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ombreadoclaro-nfasis5">
    <w:name w:val="Light Shading Accent 5"/>
    <w:basedOn w:val="Tablanormal"/>
    <w:uiPriority w:val="60"/>
    <w:rsid w:val="00130076"/>
    <w:pPr>
      <w:spacing w:after="0" w:line="240" w:lineRule="auto"/>
    </w:pPr>
    <w:rPr>
      <w:color w:val="000000" w:themeColor="accent5" w:themeShade="BF"/>
    </w:rPr>
    <w:tblPr>
      <w:tblStyleRowBandSize w:val="1"/>
      <w:tblStyleColBandSize w:val="1"/>
      <w:tblBorders>
        <w:top w:val="single" w:sz="8" w:space="0" w:color="000000" w:themeColor="accent5"/>
        <w:bottom w:val="single" w:sz="8" w:space="0" w:color="0000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5"/>
          <w:left w:val="nil"/>
          <w:bottom w:val="single" w:sz="8" w:space="0" w:color="0000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5"/>
          <w:left w:val="nil"/>
          <w:bottom w:val="single" w:sz="8" w:space="0" w:color="0000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5" w:themeFillTint="3F"/>
      </w:tcPr>
    </w:tblStylePr>
  </w:style>
  <w:style w:type="table" w:styleId="Listaclara-nfasis2">
    <w:name w:val="Light List Accent 2"/>
    <w:aliases w:val="Bankinter Naranja"/>
    <w:basedOn w:val="Tablanormal"/>
    <w:uiPriority w:val="61"/>
    <w:rsid w:val="00130076"/>
    <w:pPr>
      <w:spacing w:after="0" w:line="240" w:lineRule="auto"/>
    </w:pPr>
    <w:tblPr>
      <w:tblStyleRowBandSize w:val="1"/>
      <w:tblStyleColBandSize w:val="1"/>
      <w:tblBorders>
        <w:top w:val="single" w:sz="8" w:space="0" w:color="F56600" w:themeColor="accent2"/>
        <w:left w:val="single" w:sz="8" w:space="0" w:color="F56600" w:themeColor="accent2"/>
        <w:bottom w:val="single" w:sz="8" w:space="0" w:color="F56600" w:themeColor="accent2"/>
        <w:right w:val="single" w:sz="8" w:space="0" w:color="F566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  <w:tblStylePr w:type="band1Horz">
      <w:tblPr/>
      <w:tcPr>
        <w:tcBorders>
          <w:top w:val="single" w:sz="8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</w:style>
  <w:style w:type="table" w:styleId="Sombreadomedio1-nfasis2">
    <w:name w:val="Medium Shading 1 Accent 2"/>
    <w:aliases w:val="Bankinter Pijama"/>
    <w:basedOn w:val="Tablanormal"/>
    <w:uiPriority w:val="63"/>
    <w:rsid w:val="00130076"/>
    <w:pPr>
      <w:spacing w:after="0" w:line="240" w:lineRule="auto"/>
    </w:pPr>
    <w:tblPr>
      <w:tblStyleRowBandSize w:val="1"/>
      <w:tblStyleColBandSize w:val="1"/>
      <w:tblBorders>
        <w:top w:val="single" w:sz="8" w:space="0" w:color="FF8A38" w:themeColor="accent2" w:themeTint="BF"/>
        <w:left w:val="single" w:sz="8" w:space="0" w:color="FF8A38" w:themeColor="accent2" w:themeTint="BF"/>
        <w:bottom w:val="single" w:sz="8" w:space="0" w:color="FF8A38" w:themeColor="accent2" w:themeTint="BF"/>
        <w:right w:val="single" w:sz="8" w:space="0" w:color="FF8A38" w:themeColor="accent2" w:themeTint="BF"/>
        <w:insideH w:val="single" w:sz="8" w:space="0" w:color="FF8A3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A38" w:themeColor="accent2" w:themeTint="BF"/>
          <w:left w:val="single" w:sz="8" w:space="0" w:color="FF8A38" w:themeColor="accent2" w:themeTint="BF"/>
          <w:bottom w:val="single" w:sz="8" w:space="0" w:color="FF8A38" w:themeColor="accent2" w:themeTint="BF"/>
          <w:right w:val="single" w:sz="8" w:space="0" w:color="FF8A38" w:themeColor="accent2" w:themeTint="BF"/>
          <w:insideH w:val="nil"/>
          <w:insideV w:val="nil"/>
        </w:tcBorders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A38" w:themeColor="accent2" w:themeTint="BF"/>
          <w:left w:val="single" w:sz="8" w:space="0" w:color="FF8A38" w:themeColor="accent2" w:themeTint="BF"/>
          <w:bottom w:val="single" w:sz="8" w:space="0" w:color="FF8A38" w:themeColor="accent2" w:themeTint="BF"/>
          <w:right w:val="single" w:sz="8" w:space="0" w:color="FF8A3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130076"/>
    <w:pPr>
      <w:spacing w:after="0" w:line="240" w:lineRule="auto"/>
    </w:p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66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66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24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498F"/>
  </w:style>
  <w:style w:type="paragraph" w:styleId="Piedepgina">
    <w:name w:val="footer"/>
    <w:basedOn w:val="Normal"/>
    <w:link w:val="PiedepginaCar"/>
    <w:uiPriority w:val="99"/>
    <w:unhideWhenUsed/>
    <w:rsid w:val="00A24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498F"/>
  </w:style>
  <w:style w:type="paragraph" w:styleId="Textodeglobo">
    <w:name w:val="Balloon Text"/>
    <w:basedOn w:val="Normal"/>
    <w:link w:val="TextodegloboCar"/>
    <w:uiPriority w:val="99"/>
    <w:semiHidden/>
    <w:unhideWhenUsed/>
    <w:rsid w:val="00A24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98F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30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0C4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3024B"/>
    <w:pPr>
      <w:spacing w:after="0" w:line="240" w:lineRule="auto"/>
      <w:ind w:left="720"/>
    </w:pPr>
    <w:rPr>
      <w:rFonts w:ascii="Calibri" w:eastAsiaTheme="minorHAnsi" w:hAnsi="Calibri" w:cs="Times New Roman"/>
      <w:lang w:val="es-ES_tradnl" w:eastAsia="es-ES_tradnl"/>
    </w:rPr>
  </w:style>
  <w:style w:type="table" w:customStyle="1" w:styleId="BankinterPijama1">
    <w:name w:val="Bankinter Pijama1"/>
    <w:basedOn w:val="Tablanormal"/>
    <w:next w:val="Sombreadomedio1-nfasis2"/>
    <w:uiPriority w:val="63"/>
    <w:rsid w:val="00DD00EE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FF8A38"/>
        <w:left w:val="single" w:sz="8" w:space="0" w:color="FF8A38"/>
        <w:bottom w:val="single" w:sz="8" w:space="0" w:color="FF8A38"/>
        <w:right w:val="single" w:sz="8" w:space="0" w:color="FF8A38"/>
        <w:insideH w:val="single" w:sz="8" w:space="0" w:color="FF8A38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F8A38"/>
          <w:left w:val="single" w:sz="8" w:space="0" w:color="FF8A38"/>
          <w:bottom w:val="single" w:sz="8" w:space="0" w:color="FF8A38"/>
          <w:right w:val="single" w:sz="8" w:space="0" w:color="FF8A38"/>
          <w:insideH w:val="nil"/>
          <w:insideV w:val="nil"/>
        </w:tcBorders>
        <w:shd w:val="clear" w:color="auto" w:fill="F566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A38"/>
          <w:left w:val="single" w:sz="8" w:space="0" w:color="FF8A38"/>
          <w:bottom w:val="single" w:sz="8" w:space="0" w:color="FF8A38"/>
          <w:right w:val="single" w:sz="8" w:space="0" w:color="FF8A38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D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D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D05718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0571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05718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44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73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56600" w:themeColor="text2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35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56600" w:themeColor="text2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35D2"/>
    <w:rPr>
      <w:rFonts w:asciiTheme="majorHAnsi" w:eastAsiaTheme="majorEastAsia" w:hAnsiTheme="majorHAnsi" w:cstheme="majorBidi"/>
      <w:b/>
      <w:bCs/>
      <w:color w:val="F56600" w:themeColor="text2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35D2"/>
    <w:rPr>
      <w:rFonts w:asciiTheme="majorHAnsi" w:eastAsiaTheme="majorEastAsia" w:hAnsiTheme="majorHAnsi" w:cstheme="majorBidi"/>
      <w:b/>
      <w:bCs/>
      <w:color w:val="F56600" w:themeColor="text2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5735D2"/>
    <w:pPr>
      <w:pBdr>
        <w:bottom w:val="single" w:sz="8" w:space="4" w:color="FFFF9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3544A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5735D2"/>
    <w:rPr>
      <w:rFonts w:asciiTheme="majorHAnsi" w:eastAsiaTheme="majorEastAsia" w:hAnsiTheme="majorHAnsi" w:cstheme="majorBidi"/>
      <w:color w:val="63544A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5735D2"/>
    <w:pPr>
      <w:numPr>
        <w:ilvl w:val="1"/>
      </w:numPr>
    </w:pPr>
    <w:rPr>
      <w:rFonts w:asciiTheme="majorHAnsi" w:eastAsiaTheme="majorEastAsia" w:hAnsiTheme="majorHAnsi" w:cstheme="majorBidi"/>
      <w:i/>
      <w:iCs/>
      <w:color w:val="F56600" w:themeColor="text2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735D2"/>
    <w:rPr>
      <w:rFonts w:asciiTheme="majorHAnsi" w:eastAsiaTheme="majorEastAsia" w:hAnsiTheme="majorHAnsi" w:cstheme="majorBidi"/>
      <w:i/>
      <w:iCs/>
      <w:color w:val="F56600" w:themeColor="text2"/>
      <w:spacing w:val="15"/>
      <w:sz w:val="24"/>
      <w:szCs w:val="24"/>
    </w:rPr>
  </w:style>
  <w:style w:type="character" w:styleId="nfasisintenso">
    <w:name w:val="Intense Emphasis"/>
    <w:basedOn w:val="Fuentedeprrafopredeter"/>
    <w:uiPriority w:val="21"/>
    <w:qFormat/>
    <w:rsid w:val="005735D2"/>
    <w:rPr>
      <w:b/>
      <w:bCs/>
      <w:i/>
      <w:iCs/>
      <w:color w:val="F56600" w:themeColor="text2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35D2"/>
    <w:pPr>
      <w:pBdr>
        <w:bottom w:val="single" w:sz="4" w:space="4" w:color="FFFF99" w:themeColor="accent1"/>
      </w:pBdr>
      <w:spacing w:before="200" w:after="280"/>
      <w:ind w:left="936" w:right="936"/>
    </w:pPr>
    <w:rPr>
      <w:b/>
      <w:bCs/>
      <w:i/>
      <w:iCs/>
      <w:color w:val="F56600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35D2"/>
    <w:rPr>
      <w:b/>
      <w:bCs/>
      <w:i/>
      <w:iCs/>
      <w:color w:val="F56600" w:themeColor="text2"/>
    </w:rPr>
  </w:style>
  <w:style w:type="table" w:styleId="Tablaconcuadrcula">
    <w:name w:val="Table Grid"/>
    <w:basedOn w:val="Tablanormal"/>
    <w:uiPriority w:val="59"/>
    <w:rsid w:val="001300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ombreadoclaro-nfasis5">
    <w:name w:val="Light Shading Accent 5"/>
    <w:basedOn w:val="Tablanormal"/>
    <w:uiPriority w:val="60"/>
    <w:rsid w:val="00130076"/>
    <w:pPr>
      <w:spacing w:after="0" w:line="240" w:lineRule="auto"/>
    </w:pPr>
    <w:rPr>
      <w:color w:val="000000" w:themeColor="accent5" w:themeShade="BF"/>
    </w:rPr>
    <w:tblPr>
      <w:tblStyleRowBandSize w:val="1"/>
      <w:tblStyleColBandSize w:val="1"/>
      <w:tblBorders>
        <w:top w:val="single" w:sz="8" w:space="0" w:color="000000" w:themeColor="accent5"/>
        <w:bottom w:val="single" w:sz="8" w:space="0" w:color="0000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5"/>
          <w:left w:val="nil"/>
          <w:bottom w:val="single" w:sz="8" w:space="0" w:color="0000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5"/>
          <w:left w:val="nil"/>
          <w:bottom w:val="single" w:sz="8" w:space="0" w:color="0000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5" w:themeFillTint="3F"/>
      </w:tcPr>
    </w:tblStylePr>
  </w:style>
  <w:style w:type="table" w:styleId="Listaclara-nfasis2">
    <w:name w:val="Light List Accent 2"/>
    <w:aliases w:val="Bankinter Naranja"/>
    <w:basedOn w:val="Tablanormal"/>
    <w:uiPriority w:val="61"/>
    <w:rsid w:val="00130076"/>
    <w:pPr>
      <w:spacing w:after="0" w:line="240" w:lineRule="auto"/>
    </w:pPr>
    <w:tblPr>
      <w:tblStyleRowBandSize w:val="1"/>
      <w:tblStyleColBandSize w:val="1"/>
      <w:tblBorders>
        <w:top w:val="single" w:sz="8" w:space="0" w:color="F56600" w:themeColor="accent2"/>
        <w:left w:val="single" w:sz="8" w:space="0" w:color="F56600" w:themeColor="accent2"/>
        <w:bottom w:val="single" w:sz="8" w:space="0" w:color="F56600" w:themeColor="accent2"/>
        <w:right w:val="single" w:sz="8" w:space="0" w:color="F566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  <w:tblStylePr w:type="band1Horz">
      <w:tblPr/>
      <w:tcPr>
        <w:tcBorders>
          <w:top w:val="single" w:sz="8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</w:style>
  <w:style w:type="table" w:styleId="Sombreadomedio1-nfasis2">
    <w:name w:val="Medium Shading 1 Accent 2"/>
    <w:aliases w:val="Bankinter Pijama"/>
    <w:basedOn w:val="Tablanormal"/>
    <w:uiPriority w:val="63"/>
    <w:rsid w:val="00130076"/>
    <w:pPr>
      <w:spacing w:after="0" w:line="240" w:lineRule="auto"/>
    </w:pPr>
    <w:tblPr>
      <w:tblStyleRowBandSize w:val="1"/>
      <w:tblStyleColBandSize w:val="1"/>
      <w:tblBorders>
        <w:top w:val="single" w:sz="8" w:space="0" w:color="FF8A38" w:themeColor="accent2" w:themeTint="BF"/>
        <w:left w:val="single" w:sz="8" w:space="0" w:color="FF8A38" w:themeColor="accent2" w:themeTint="BF"/>
        <w:bottom w:val="single" w:sz="8" w:space="0" w:color="FF8A38" w:themeColor="accent2" w:themeTint="BF"/>
        <w:right w:val="single" w:sz="8" w:space="0" w:color="FF8A38" w:themeColor="accent2" w:themeTint="BF"/>
        <w:insideH w:val="single" w:sz="8" w:space="0" w:color="FF8A3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A38" w:themeColor="accent2" w:themeTint="BF"/>
          <w:left w:val="single" w:sz="8" w:space="0" w:color="FF8A38" w:themeColor="accent2" w:themeTint="BF"/>
          <w:bottom w:val="single" w:sz="8" w:space="0" w:color="FF8A38" w:themeColor="accent2" w:themeTint="BF"/>
          <w:right w:val="single" w:sz="8" w:space="0" w:color="FF8A38" w:themeColor="accent2" w:themeTint="BF"/>
          <w:insideH w:val="nil"/>
          <w:insideV w:val="nil"/>
        </w:tcBorders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A38" w:themeColor="accent2" w:themeTint="BF"/>
          <w:left w:val="single" w:sz="8" w:space="0" w:color="FF8A38" w:themeColor="accent2" w:themeTint="BF"/>
          <w:bottom w:val="single" w:sz="8" w:space="0" w:color="FF8A38" w:themeColor="accent2" w:themeTint="BF"/>
          <w:right w:val="single" w:sz="8" w:space="0" w:color="FF8A3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130076"/>
    <w:pPr>
      <w:spacing w:after="0" w:line="240" w:lineRule="auto"/>
    </w:p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66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66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24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498F"/>
  </w:style>
  <w:style w:type="paragraph" w:styleId="Piedepgina">
    <w:name w:val="footer"/>
    <w:basedOn w:val="Normal"/>
    <w:link w:val="PiedepginaCar"/>
    <w:uiPriority w:val="99"/>
    <w:unhideWhenUsed/>
    <w:rsid w:val="00A24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498F"/>
  </w:style>
  <w:style w:type="paragraph" w:styleId="Textodeglobo">
    <w:name w:val="Balloon Text"/>
    <w:basedOn w:val="Normal"/>
    <w:link w:val="TextodegloboCar"/>
    <w:uiPriority w:val="99"/>
    <w:semiHidden/>
    <w:unhideWhenUsed/>
    <w:rsid w:val="00A24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98F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30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0C4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3024B"/>
    <w:pPr>
      <w:spacing w:after="0" w:line="240" w:lineRule="auto"/>
      <w:ind w:left="720"/>
    </w:pPr>
    <w:rPr>
      <w:rFonts w:ascii="Calibri" w:eastAsiaTheme="minorHAnsi" w:hAnsi="Calibri" w:cs="Times New Roman"/>
      <w:lang w:val="es-ES_tradnl" w:eastAsia="es-ES_tradnl"/>
    </w:rPr>
  </w:style>
  <w:style w:type="table" w:customStyle="1" w:styleId="BankinterPijama1">
    <w:name w:val="Bankinter Pijama1"/>
    <w:basedOn w:val="Tablanormal"/>
    <w:next w:val="Sombreadomedio1-nfasis2"/>
    <w:uiPriority w:val="63"/>
    <w:rsid w:val="00DD00EE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FF8A38"/>
        <w:left w:val="single" w:sz="8" w:space="0" w:color="FF8A38"/>
        <w:bottom w:val="single" w:sz="8" w:space="0" w:color="FF8A38"/>
        <w:right w:val="single" w:sz="8" w:space="0" w:color="FF8A38"/>
        <w:insideH w:val="single" w:sz="8" w:space="0" w:color="FF8A38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F8A38"/>
          <w:left w:val="single" w:sz="8" w:space="0" w:color="FF8A38"/>
          <w:bottom w:val="single" w:sz="8" w:space="0" w:color="FF8A38"/>
          <w:right w:val="single" w:sz="8" w:space="0" w:color="FF8A38"/>
          <w:insideH w:val="nil"/>
          <w:insideV w:val="nil"/>
        </w:tcBorders>
        <w:shd w:val="clear" w:color="auto" w:fill="F566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A38"/>
          <w:left w:val="single" w:sz="8" w:space="0" w:color="FF8A38"/>
          <w:bottom w:val="single" w:sz="8" w:space="0" w:color="FF8A38"/>
          <w:right w:val="single" w:sz="8" w:space="0" w:color="FF8A38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D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D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D05718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0571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05718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44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7939">
          <w:marLeft w:val="116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7202">
          <w:marLeft w:val="116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5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ankinter">
  <a:themeElements>
    <a:clrScheme name="Bankinter">
      <a:dk1>
        <a:srgbClr val="000000"/>
      </a:dk1>
      <a:lt1>
        <a:srgbClr val="FFFFFF"/>
      </a:lt1>
      <a:dk2>
        <a:srgbClr val="F56600"/>
      </a:dk2>
      <a:lt2>
        <a:srgbClr val="B5D9DE"/>
      </a:lt2>
      <a:accent1>
        <a:srgbClr val="FFFF99"/>
      </a:accent1>
      <a:accent2>
        <a:srgbClr val="F56600"/>
      </a:accent2>
      <a:accent3>
        <a:srgbClr val="FFFFFF"/>
      </a:accent3>
      <a:accent4>
        <a:srgbClr val="B5D9DE"/>
      </a:accent4>
      <a:accent5>
        <a:srgbClr val="000000"/>
      </a:accent5>
      <a:accent6>
        <a:srgbClr val="D2E8EB"/>
      </a:accent6>
      <a:hlink>
        <a:srgbClr val="F56600"/>
      </a:hlink>
      <a:folHlink>
        <a:srgbClr val="63544A"/>
      </a:folHlink>
    </a:clrScheme>
    <a:fontScheme name="Bankinter">
      <a:majorFont>
        <a:latin typeface="Bankinter"/>
        <a:ea typeface=""/>
        <a:cs typeface=""/>
      </a:majorFont>
      <a:minorFont>
        <a:latin typeface="Bankinter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1549</Words>
  <Characters>8525</Characters>
  <Application>Microsoft Office Word</Application>
  <DocSecurity>0</DocSecurity>
  <Lines>71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Marca</vt:lpstr>
      <vt:lpstr>Marca</vt:lpstr>
    </vt:vector>
  </TitlesOfParts>
  <Company>Bankinter</Company>
  <LinksUpToDate>false</LinksUpToDate>
  <CharactersWithSpaces>10054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</dc:title>
  <dc:creator>Bankinter</dc:creator>
  <cp:lastModifiedBy>Myriam Sanchez Elordi</cp:lastModifiedBy>
  <cp:revision>2</cp:revision>
  <cp:lastPrinted>2018-01-24T18:56:00Z</cp:lastPrinted>
  <dcterms:created xsi:type="dcterms:W3CDTF">2018-04-26T05:36:00Z</dcterms:created>
  <dcterms:modified xsi:type="dcterms:W3CDTF">2018-04-26T05:36:00Z</dcterms:modified>
</cp:coreProperties>
</file>