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563" w:rsidRPr="0081111D" w:rsidRDefault="001A3563" w:rsidP="00F86E0B">
      <w:pPr>
        <w:ind w:left="708" w:hanging="708"/>
        <w:rPr>
          <w:rFonts w:ascii="Bankinter" w:hAnsi="Bankinter"/>
          <w:sz w:val="18"/>
          <w:szCs w:val="18"/>
        </w:rPr>
      </w:pPr>
    </w:p>
    <w:p w:rsidR="001A3563" w:rsidRPr="001A3563" w:rsidRDefault="001A3563" w:rsidP="001A3563">
      <w:pPr>
        <w:spacing w:after="0" w:line="240" w:lineRule="auto"/>
        <w:rPr>
          <w:rFonts w:ascii="Bankinter Sans" w:hAnsi="Bankinter Sans"/>
          <w:color w:val="000000" w:themeColor="text1"/>
          <w:sz w:val="28"/>
          <w:szCs w:val="28"/>
        </w:rPr>
      </w:pPr>
    </w:p>
    <w:p w:rsidR="00A53884" w:rsidRPr="00E3484D" w:rsidRDefault="00A53884" w:rsidP="00666BE9">
      <w:pPr>
        <w:spacing w:after="0" w:line="240" w:lineRule="auto"/>
        <w:rPr>
          <w:color w:val="000000" w:themeColor="text1"/>
        </w:rPr>
      </w:pPr>
    </w:p>
    <w:p w:rsidR="00AF6FA8" w:rsidRDefault="00AF6FA8" w:rsidP="00AF6FA8">
      <w:pPr>
        <w:pStyle w:val="Textocomentario"/>
        <w:jc w:val="both"/>
        <w:rPr>
          <w:rFonts w:ascii="Bankinter Sans" w:hAnsi="Bankinter Sans"/>
          <w:color w:val="000000" w:themeColor="text1"/>
        </w:rPr>
      </w:pPr>
      <w:bookmarkStart w:id="0" w:name="_GoBack"/>
      <w:bookmarkEnd w:id="0"/>
      <w:r w:rsidRPr="00E3484D">
        <w:rPr>
          <w:rFonts w:ascii="Bankinter Sans" w:hAnsi="Bankinter Sans"/>
          <w:color w:val="000000" w:themeColor="text1"/>
        </w:rPr>
        <w:t xml:space="preserve">El </w:t>
      </w:r>
      <w:r w:rsidRPr="00AF6FA8">
        <w:rPr>
          <w:rFonts w:ascii="Bankinter Sans" w:hAnsi="Bankinter Sans"/>
          <w:color w:val="000000" w:themeColor="text1"/>
        </w:rPr>
        <w:t>Grupo Bankinter estrena 2019 manteniendo la tendencia de crecimiento del ejercicio precedente, sustentada en un negocio con clientes diversificado, rentable y sostenible de cara al futuro.</w:t>
      </w:r>
    </w:p>
    <w:p w:rsidR="00AF6FA8" w:rsidRDefault="00AF6FA8" w:rsidP="00AF6FA8">
      <w:pPr>
        <w:pStyle w:val="Textocomentario"/>
        <w:jc w:val="both"/>
        <w:rPr>
          <w:rFonts w:ascii="Bankinter Sans" w:hAnsi="Bankinter Sans"/>
          <w:color w:val="000000" w:themeColor="text1"/>
        </w:rPr>
      </w:pPr>
    </w:p>
    <w:p w:rsidR="00AF6FA8" w:rsidRPr="00524D7A" w:rsidRDefault="004B5E5C" w:rsidP="00AF6FA8">
      <w:pPr>
        <w:pStyle w:val="Textocomentario"/>
        <w:jc w:val="both"/>
        <w:rPr>
          <w:rFonts w:ascii="Bankinter Sans" w:hAnsi="Bankinter Sans" w:cs="Bankinter"/>
          <w:color w:val="000000" w:themeColor="text1"/>
        </w:rPr>
      </w:pPr>
      <w:r w:rsidRPr="00524D7A">
        <w:rPr>
          <w:rFonts w:ascii="Bankinter Sans" w:hAnsi="Bankinter Sans" w:cs="Bankinter"/>
          <w:color w:val="000000" w:themeColor="text1"/>
        </w:rPr>
        <w:t xml:space="preserve">Así, </w:t>
      </w:r>
      <w:r w:rsidR="00AF6FA8" w:rsidRPr="00524D7A">
        <w:rPr>
          <w:rFonts w:ascii="Bankinter Sans" w:hAnsi="Bankinter Sans"/>
          <w:color w:val="000000" w:themeColor="text1"/>
        </w:rPr>
        <w:t>la cuenta de resultados de</w:t>
      </w:r>
      <w:r w:rsidR="00AF6FA8" w:rsidRPr="00524D7A">
        <w:rPr>
          <w:rFonts w:ascii="Bankinter Sans" w:hAnsi="Bankinter Sans" w:cs="Bankinter"/>
          <w:color w:val="000000" w:themeColor="text1"/>
        </w:rPr>
        <w:t xml:space="preserve">l Grupo se saldó el primer trimestre con una ganancia neta de 145 millones de euros y un beneficio antes de impuestos de 198,6 millones, lo que refleja un incremento del 1,4% con respecto al mismo periodo del año anterior en ambos casos, a pesar del entorno de tipos de interés existente. </w:t>
      </w:r>
    </w:p>
    <w:p w:rsidR="00AF6FA8" w:rsidRDefault="00AF6FA8" w:rsidP="00AF6FA8">
      <w:pPr>
        <w:pStyle w:val="Textocomentario"/>
        <w:jc w:val="both"/>
        <w:rPr>
          <w:rFonts w:ascii="Bankinter Sans" w:hAnsi="Bankinter Sans" w:cs="Bankinter"/>
          <w:color w:val="000000" w:themeColor="text1"/>
        </w:rPr>
      </w:pPr>
    </w:p>
    <w:p w:rsidR="00AF6FA8" w:rsidRDefault="00AF6FA8" w:rsidP="00AF6FA8">
      <w:pPr>
        <w:pStyle w:val="Textocomentario"/>
        <w:jc w:val="both"/>
        <w:rPr>
          <w:rFonts w:ascii="Bankinter Sans" w:hAnsi="Bankinter Sans" w:cs="Bankinter"/>
          <w:color w:val="000000" w:themeColor="text1"/>
        </w:rPr>
      </w:pPr>
      <w:r w:rsidRPr="00AF6FA8">
        <w:rPr>
          <w:rFonts w:ascii="Bankinter Sans" w:hAnsi="Bankinter Sans" w:cs="Bankinter"/>
          <w:color w:val="000000" w:themeColor="text1"/>
        </w:rPr>
        <w:t>Entre las fortalezas del Grupo Bankinter destaca su rentabilidad, con un ROE, o rentabilidad sobre recursos propios, del 12,6%, nivel que le sitúa en puestos de liderazgo entre los principales bancos del mercado español.</w:t>
      </w:r>
    </w:p>
    <w:p w:rsidR="00AF6FA8" w:rsidRDefault="00AF6FA8" w:rsidP="00AF6FA8">
      <w:pPr>
        <w:pStyle w:val="Textocomentario"/>
        <w:jc w:val="both"/>
        <w:rPr>
          <w:rFonts w:ascii="Bankinter Sans" w:hAnsi="Bankinter Sans" w:cs="Bankinter"/>
          <w:color w:val="000000" w:themeColor="text1"/>
        </w:rPr>
      </w:pPr>
    </w:p>
    <w:p w:rsidR="00AF6FA8" w:rsidRDefault="00AF6FA8" w:rsidP="00AF6FA8">
      <w:pPr>
        <w:pStyle w:val="Textocomentario"/>
        <w:jc w:val="both"/>
        <w:rPr>
          <w:rFonts w:ascii="Bankinter Sans" w:hAnsi="Bankinter Sans" w:cs="Bankinter"/>
          <w:color w:val="000000" w:themeColor="text1"/>
        </w:rPr>
      </w:pPr>
      <w:r w:rsidRPr="00AF6FA8">
        <w:rPr>
          <w:rFonts w:ascii="Bankinter Sans" w:hAnsi="Bankinter Sans" w:cs="Bankinter"/>
          <w:color w:val="000000" w:themeColor="text1"/>
        </w:rPr>
        <w:t xml:space="preserve">Por otro lado, el Grupo posee una calidad de activos que le hace valedor de una de las posiciones más sólidas del sector, con una ratio de morosidad del 2,87%, que ha experimentado una reducción interanual del 16% y que representa la mitad del promedio del sistema financiero. </w:t>
      </w:r>
    </w:p>
    <w:p w:rsidR="00AF6FA8" w:rsidRDefault="00AF6FA8" w:rsidP="00AF6FA8">
      <w:pPr>
        <w:pStyle w:val="Textocomentario"/>
        <w:jc w:val="both"/>
        <w:rPr>
          <w:rFonts w:ascii="Bankinter Sans" w:hAnsi="Bankinter Sans" w:cs="Bankinter"/>
          <w:color w:val="000000" w:themeColor="text1"/>
        </w:rPr>
      </w:pPr>
    </w:p>
    <w:p w:rsidR="00AF6FA8" w:rsidRDefault="00AF6FA8" w:rsidP="00AF6FA8">
      <w:pPr>
        <w:pStyle w:val="Textocomentario"/>
        <w:jc w:val="both"/>
        <w:rPr>
          <w:rFonts w:ascii="Bankinter Sans" w:hAnsi="Bankinter Sans"/>
          <w:color w:val="000000" w:themeColor="text1"/>
        </w:rPr>
      </w:pPr>
      <w:r w:rsidRPr="00AF6FA8">
        <w:rPr>
          <w:rFonts w:ascii="Bankinter Sans" w:hAnsi="Bankinter Sans"/>
          <w:color w:val="000000" w:themeColor="text1"/>
        </w:rPr>
        <w:t xml:space="preserve">Conectado a esto, los activos inmobiliarios adjudicados también experimentan una sustancial rebaja, hasta situarse en un valor bruto de 328,6 millones de euros, frente a los 398,2 millones de hace un año. La cobertura de estos adjudicados es del 45,5%. </w:t>
      </w:r>
    </w:p>
    <w:p w:rsidR="00AF6FA8" w:rsidRDefault="00AF6FA8" w:rsidP="00AF6FA8">
      <w:pPr>
        <w:pStyle w:val="Textocomentario"/>
        <w:jc w:val="both"/>
        <w:rPr>
          <w:rFonts w:ascii="Bankinter Sans" w:hAnsi="Bankinter Sans"/>
          <w:color w:val="000000" w:themeColor="text1"/>
        </w:rPr>
      </w:pPr>
    </w:p>
    <w:p w:rsidR="00AF6FA8" w:rsidRPr="00AF6FA8" w:rsidRDefault="00AF6FA8" w:rsidP="00AF6FA8">
      <w:pPr>
        <w:pStyle w:val="Textocomentario"/>
        <w:jc w:val="both"/>
        <w:rPr>
          <w:rFonts w:ascii="Bankinter Sans" w:hAnsi="Bankinter Sans" w:cs="Bankinter"/>
          <w:color w:val="000000" w:themeColor="text1"/>
        </w:rPr>
      </w:pPr>
      <w:r w:rsidRPr="00AF6FA8">
        <w:rPr>
          <w:rFonts w:ascii="Bankinter Sans" w:hAnsi="Bankinter Sans" w:cs="Bankinter"/>
          <w:color w:val="000000" w:themeColor="text1"/>
        </w:rPr>
        <w:t xml:space="preserve">En lo que se refiere a la solvencia, otra de las fortalezas de la entidad, la ratio de capital CET1 </w:t>
      </w:r>
      <w:proofErr w:type="spellStart"/>
      <w:r w:rsidRPr="00AF6FA8">
        <w:rPr>
          <w:rFonts w:ascii="Bankinter Sans" w:hAnsi="Bankinter Sans" w:cs="Bankinter"/>
          <w:i/>
          <w:color w:val="000000" w:themeColor="text1"/>
        </w:rPr>
        <w:t>fully</w:t>
      </w:r>
      <w:proofErr w:type="spellEnd"/>
      <w:r w:rsidRPr="00AF6FA8">
        <w:rPr>
          <w:rFonts w:ascii="Bankinter Sans" w:hAnsi="Bankinter Sans" w:cs="Bankinter"/>
          <w:i/>
          <w:color w:val="000000" w:themeColor="text1"/>
        </w:rPr>
        <w:t xml:space="preserve"> </w:t>
      </w:r>
      <w:proofErr w:type="spellStart"/>
      <w:r w:rsidRPr="00AF6FA8">
        <w:rPr>
          <w:rFonts w:ascii="Bankinter Sans" w:hAnsi="Bankinter Sans" w:cs="Bankinter"/>
          <w:i/>
          <w:color w:val="000000" w:themeColor="text1"/>
        </w:rPr>
        <w:t>loaded</w:t>
      </w:r>
      <w:proofErr w:type="spellEnd"/>
      <w:r w:rsidRPr="00AF6FA8">
        <w:rPr>
          <w:rFonts w:ascii="Bankinter Sans" w:hAnsi="Bankinter Sans" w:cs="Bankinter"/>
          <w:color w:val="000000" w:themeColor="text1"/>
        </w:rPr>
        <w:t xml:space="preserve"> cerró el trimestre en el 11,80%, lo que supone una holgura significativa, de 360 puntos básicos, frente al requerimiento de capital que le ha exigido a la entidad el Banco Central Europeo para el presente ejercicio.</w:t>
      </w:r>
    </w:p>
    <w:p w:rsidR="00AF6FA8" w:rsidRPr="00AF6FA8" w:rsidRDefault="00AF6FA8" w:rsidP="00AF6FA8">
      <w:pPr>
        <w:pStyle w:val="Textocomentario"/>
        <w:jc w:val="both"/>
        <w:rPr>
          <w:rFonts w:ascii="Bankinter Sans" w:hAnsi="Bankinter Sans" w:cs="Bankinter"/>
          <w:color w:val="000000" w:themeColor="text1"/>
        </w:rPr>
      </w:pPr>
    </w:p>
    <w:p w:rsidR="00AF6FA8" w:rsidRPr="00AF6FA8" w:rsidRDefault="00AF6FA8" w:rsidP="00AF6FA8">
      <w:pPr>
        <w:pStyle w:val="Textocomentario"/>
        <w:jc w:val="both"/>
        <w:rPr>
          <w:rFonts w:ascii="Bankinter Sans" w:eastAsiaTheme="minorHAnsi" w:hAnsi="Bankinter Sans" w:cs="Bankinter"/>
          <w:color w:val="000000" w:themeColor="text1"/>
          <w:lang w:val="es-ES_tradnl" w:eastAsia="en-US"/>
        </w:rPr>
      </w:pPr>
      <w:r w:rsidRPr="00AF6FA8">
        <w:rPr>
          <w:rFonts w:ascii="Bankinter Sans" w:eastAsiaTheme="minorHAnsi" w:hAnsi="Bankinter Sans" w:cs="Bankinter"/>
          <w:color w:val="000000" w:themeColor="text1"/>
          <w:lang w:val="es-ES_tradnl" w:eastAsia="en-US"/>
        </w:rPr>
        <w:t xml:space="preserve">En cuanto a la liquidez, el </w:t>
      </w:r>
      <w:r w:rsidRPr="00AF6FA8">
        <w:rPr>
          <w:rFonts w:ascii="Bankinter Sans" w:eastAsiaTheme="minorHAnsi" w:hAnsi="Bankinter Sans" w:cs="Bankinter"/>
          <w:i/>
          <w:color w:val="000000" w:themeColor="text1"/>
          <w:lang w:val="es-ES_tradnl" w:eastAsia="en-US"/>
        </w:rPr>
        <w:t>gap</w:t>
      </w:r>
      <w:r w:rsidRPr="00AF6FA8">
        <w:rPr>
          <w:rFonts w:ascii="Bankinter Sans" w:eastAsiaTheme="minorHAnsi" w:hAnsi="Bankinter Sans" w:cs="Bankinter"/>
          <w:color w:val="000000" w:themeColor="text1"/>
          <w:lang w:val="es-ES_tradnl" w:eastAsia="en-US"/>
        </w:rPr>
        <w:t xml:space="preserve"> comercial (diferencia entre la inversión crediticia y los recursos captados de clientes) de la entidad se situó en 3.200 millones de euros. En paralelo, la ratio de depósitos sobre créditos cerró en el 95,2%, 320 puntos básicos por encima de la correspondiente al primer trimestre de 2018.</w:t>
      </w:r>
    </w:p>
    <w:p w:rsidR="00AF6FA8" w:rsidRPr="00AF6FA8" w:rsidRDefault="00AF6FA8" w:rsidP="00AF6FA8">
      <w:pPr>
        <w:pStyle w:val="Textocomentario"/>
        <w:jc w:val="both"/>
        <w:rPr>
          <w:rFonts w:ascii="Bankinter Sans" w:eastAsiaTheme="minorHAnsi" w:hAnsi="Bankinter Sans" w:cs="Bankinter"/>
          <w:color w:val="000000" w:themeColor="text1"/>
          <w:lang w:val="es-ES_tradnl" w:eastAsia="en-US"/>
        </w:rPr>
      </w:pPr>
    </w:p>
    <w:p w:rsidR="00AF6FA8" w:rsidRPr="00AF6FA8" w:rsidRDefault="00AF6FA8" w:rsidP="00AF6FA8">
      <w:pPr>
        <w:pStyle w:val="Textocomentario"/>
        <w:jc w:val="both"/>
        <w:rPr>
          <w:rFonts w:ascii="Bankinter Sans" w:hAnsi="Bankinter Sans" w:cs="Bankinter"/>
          <w:color w:val="000000" w:themeColor="text1"/>
        </w:rPr>
      </w:pPr>
      <w:r w:rsidRPr="00AF6FA8">
        <w:rPr>
          <w:rFonts w:ascii="Bankinter Sans" w:hAnsi="Bankinter Sans" w:cs="Bankinter"/>
          <w:color w:val="000000" w:themeColor="text1"/>
        </w:rPr>
        <w:t>Por último, el banco prevé unos vencimientos de emisiones mayoristas de 800 millones para este ejercicio y para el siguiente, respectivamente. Mientras que para 2021 no existen vencimientos previstos. Para afrontarlos, el Grupo posee activos líquidos por un volumen muy superior, en concreto, por valor de 12.500 millones de euros y cuenta con una capacidad para emitir cédulas por 6.900 millones, cifras ambas superiores a las del cierre del pasado ejercicio.</w:t>
      </w:r>
    </w:p>
    <w:p w:rsidR="004B5E5C" w:rsidRPr="00AF6FA8" w:rsidRDefault="004B5E5C" w:rsidP="004B5E5C">
      <w:pPr>
        <w:pStyle w:val="Textocomentario"/>
        <w:jc w:val="both"/>
        <w:rPr>
          <w:rFonts w:ascii="Bankinter Sans" w:hAnsi="Bankinter Sans" w:cs="Bankinter"/>
          <w:color w:val="0070C0"/>
        </w:rPr>
      </w:pPr>
    </w:p>
    <w:p w:rsidR="00AF6FA8" w:rsidRPr="00AF6FA8" w:rsidRDefault="00AF6FA8" w:rsidP="00AF6FA8">
      <w:pPr>
        <w:spacing w:after="0" w:line="240" w:lineRule="auto"/>
        <w:jc w:val="both"/>
        <w:rPr>
          <w:rFonts w:ascii="Bankinter Sans" w:hAnsi="Bankinter Sans" w:cs="Bankinter"/>
          <w:b/>
          <w:color w:val="000000" w:themeColor="text1"/>
          <w:sz w:val="20"/>
          <w:szCs w:val="20"/>
          <w:u w:val="single"/>
        </w:rPr>
      </w:pPr>
      <w:r w:rsidRPr="00AF6FA8">
        <w:rPr>
          <w:rFonts w:ascii="Bankinter Sans" w:hAnsi="Bankinter Sans" w:cs="Bankinter"/>
          <w:b/>
          <w:color w:val="000000" w:themeColor="text1"/>
          <w:sz w:val="20"/>
          <w:szCs w:val="20"/>
          <w:u w:val="single"/>
        </w:rPr>
        <w:t>L</w:t>
      </w:r>
      <w:r w:rsidR="004B5E5C" w:rsidRPr="00AF6FA8">
        <w:rPr>
          <w:rFonts w:ascii="Bankinter Sans" w:hAnsi="Bankinter Sans" w:cs="Bankinter"/>
          <w:b/>
          <w:color w:val="000000" w:themeColor="text1"/>
          <w:sz w:val="20"/>
          <w:szCs w:val="20"/>
          <w:u w:val="single"/>
        </w:rPr>
        <w:t>os márgenes</w:t>
      </w:r>
      <w:r w:rsidRPr="00AF6FA8">
        <w:rPr>
          <w:rFonts w:ascii="Bankinter Sans" w:hAnsi="Bankinter Sans" w:cs="Bankinter"/>
          <w:b/>
          <w:color w:val="000000" w:themeColor="text1"/>
          <w:sz w:val="20"/>
          <w:szCs w:val="20"/>
          <w:u w:val="single"/>
        </w:rPr>
        <w:t xml:space="preserve"> continúan su senda de crecimiento</w:t>
      </w:r>
      <w:r w:rsidR="004B5E5C" w:rsidRPr="00AF6FA8">
        <w:rPr>
          <w:rFonts w:ascii="Bankinter Sans" w:hAnsi="Bankinter Sans" w:cs="Bankinter"/>
          <w:b/>
          <w:color w:val="000000" w:themeColor="text1"/>
          <w:sz w:val="20"/>
          <w:szCs w:val="20"/>
          <w:u w:val="single"/>
        </w:rPr>
        <w:t xml:space="preserve">. </w:t>
      </w:r>
    </w:p>
    <w:p w:rsidR="00AF6FA8" w:rsidRPr="00AF6FA8" w:rsidRDefault="00AF6FA8" w:rsidP="00AF6FA8">
      <w:pPr>
        <w:spacing w:after="0" w:line="240" w:lineRule="auto"/>
        <w:jc w:val="both"/>
        <w:rPr>
          <w:rFonts w:ascii="Bankinter Sans" w:hAnsi="Bankinter Sans" w:cs="Bankinter"/>
          <w:b/>
          <w:color w:val="0070C0"/>
          <w:sz w:val="20"/>
          <w:szCs w:val="20"/>
          <w:u w:val="single"/>
        </w:rPr>
      </w:pPr>
    </w:p>
    <w:p w:rsidR="00AF6FA8" w:rsidRPr="00AF6FA8" w:rsidRDefault="00AF6FA8" w:rsidP="00AF6FA8">
      <w:pPr>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Todos los márgenes de la cuenta de resultados del Grupo Bankinter al cierre del primer trimestre del año muestran cifras superiores a las del mismo periodo de 2018, lo que demuestra la capacidad de la entidad para seguir generando mayores ingresos.</w:t>
      </w:r>
    </w:p>
    <w:p w:rsidR="00AF6FA8" w:rsidRPr="00AF6FA8" w:rsidRDefault="00AF6FA8" w:rsidP="00AF6FA8">
      <w:pPr>
        <w:spacing w:after="0" w:line="240" w:lineRule="auto"/>
        <w:jc w:val="both"/>
        <w:rPr>
          <w:rFonts w:ascii="Bankinter Sans" w:hAnsi="Bankinter Sans" w:cs="Bankinter"/>
          <w:color w:val="000000" w:themeColor="text1"/>
          <w:sz w:val="20"/>
          <w:szCs w:val="20"/>
        </w:rPr>
      </w:pPr>
    </w:p>
    <w:p w:rsidR="00AF6FA8" w:rsidRPr="00AF6FA8" w:rsidRDefault="00AF6FA8" w:rsidP="00AF6FA8">
      <w:pPr>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El margen de intereses suma un total de 275,4 millones de euros, que suponen un 1,3% más que a la misma fecha de 2018, pese a un entorno de tipos que se mantiene inalterable en niveles que dificultan el negocio bancario.</w:t>
      </w:r>
    </w:p>
    <w:p w:rsidR="00AF6FA8" w:rsidRPr="00AF6FA8" w:rsidRDefault="00AF6FA8" w:rsidP="00AF6FA8">
      <w:pPr>
        <w:spacing w:after="0" w:line="240" w:lineRule="auto"/>
        <w:jc w:val="both"/>
        <w:rPr>
          <w:rFonts w:ascii="Bankinter Sans" w:hAnsi="Bankinter Sans" w:cs="Bankinter"/>
          <w:color w:val="000000" w:themeColor="text1"/>
          <w:sz w:val="20"/>
          <w:szCs w:val="20"/>
        </w:rPr>
      </w:pPr>
    </w:p>
    <w:p w:rsidR="00AF6FA8" w:rsidRPr="00AF6FA8" w:rsidRDefault="00AF6FA8" w:rsidP="00AF6FA8">
      <w:pPr>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 xml:space="preserve">El margen bruto alcanza los 505,4 millones de euros, lo que significa un 1% más, con unos ingresos netos por comisiones de 114 millones en el año, que crecen al 5,1% y suponen el 23% del total de este margen. </w:t>
      </w:r>
    </w:p>
    <w:p w:rsidR="00AF6FA8" w:rsidRPr="00AF6FA8" w:rsidRDefault="00AF6FA8" w:rsidP="00AF6FA8">
      <w:pPr>
        <w:spacing w:after="0" w:line="240" w:lineRule="auto"/>
        <w:jc w:val="both"/>
        <w:rPr>
          <w:rFonts w:ascii="Bankinter Sans" w:hAnsi="Bankinter Sans" w:cs="Bankinter"/>
          <w:color w:val="000000" w:themeColor="text1"/>
          <w:sz w:val="20"/>
          <w:szCs w:val="20"/>
        </w:rPr>
      </w:pPr>
    </w:p>
    <w:p w:rsidR="00AF6FA8" w:rsidRDefault="00AF6FA8" w:rsidP="00AF6FA8">
      <w:pPr>
        <w:spacing w:after="0" w:line="240" w:lineRule="auto"/>
        <w:jc w:val="both"/>
        <w:rPr>
          <w:rFonts w:ascii="Bankinter Sans" w:eastAsiaTheme="minorHAnsi" w:hAnsi="Bankinter Sans" w:cs="Tms Rmn"/>
          <w:color w:val="000000" w:themeColor="text1"/>
          <w:sz w:val="20"/>
          <w:szCs w:val="20"/>
          <w:lang w:eastAsia="en-US"/>
        </w:rPr>
      </w:pPr>
      <w:r w:rsidRPr="00AF6FA8">
        <w:rPr>
          <w:rFonts w:ascii="Bankinter Sans" w:hAnsi="Bankinter Sans" w:cs="Bankinter"/>
          <w:color w:val="000000" w:themeColor="text1"/>
          <w:sz w:val="20"/>
          <w:szCs w:val="20"/>
        </w:rPr>
        <w:t xml:space="preserve">Por su parte, el margen de explotación concluye, al 31 de marzo, en 254,3 millones de euros, un 1,8% más que un año atrás, con unos costes operativos que se mantienen a un nivel similar que en el primer trimestre de 2018, lo que conlleva una mejora de la ratio de </w:t>
      </w:r>
      <w:r w:rsidRPr="00AF6FA8">
        <w:rPr>
          <w:rFonts w:ascii="Bankinter Sans" w:eastAsiaTheme="minorHAnsi" w:hAnsi="Bankinter Sans" w:cs="Tms Rmn"/>
          <w:color w:val="000000" w:themeColor="text1"/>
          <w:sz w:val="20"/>
          <w:szCs w:val="20"/>
          <w:lang w:eastAsia="en-US"/>
        </w:rPr>
        <w:t>eficiencia de la actividad bancaria con amortizaciones, que pasa del 46,6% de hace un año al 46,5% actual, gracias a los mayores ingresos.</w:t>
      </w:r>
    </w:p>
    <w:p w:rsidR="00AF6FA8" w:rsidRDefault="00AF6FA8" w:rsidP="00AF6FA8">
      <w:pPr>
        <w:spacing w:after="0" w:line="240" w:lineRule="auto"/>
        <w:jc w:val="both"/>
        <w:rPr>
          <w:rFonts w:ascii="Bankinter Sans" w:eastAsiaTheme="minorHAnsi" w:hAnsi="Bankinter Sans" w:cs="Tms Rmn"/>
          <w:color w:val="000000" w:themeColor="text1"/>
          <w:sz w:val="20"/>
          <w:szCs w:val="20"/>
          <w:lang w:eastAsia="en-US"/>
        </w:rPr>
      </w:pPr>
    </w:p>
    <w:p w:rsidR="00AF6FA8" w:rsidRPr="00AF6FA8" w:rsidRDefault="00AF6FA8" w:rsidP="00AF6FA8">
      <w:pPr>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Por lo que se refiere al balance de Bankinter, los activos totales del Grupo suman a 31 de marzo 78.287,2 millones de euros, un 9,8% más que en el primer trimestre de 2018.</w:t>
      </w:r>
    </w:p>
    <w:p w:rsidR="00AF6FA8" w:rsidRPr="00AF6FA8" w:rsidRDefault="00AF6FA8" w:rsidP="00AF6FA8">
      <w:pPr>
        <w:spacing w:after="0" w:line="240" w:lineRule="auto"/>
        <w:jc w:val="both"/>
        <w:rPr>
          <w:rFonts w:ascii="Bankinter Sans" w:hAnsi="Bankinter Sans" w:cs="Bankinter"/>
          <w:color w:val="000000" w:themeColor="text1"/>
          <w:sz w:val="20"/>
          <w:szCs w:val="20"/>
        </w:rPr>
      </w:pPr>
    </w:p>
    <w:p w:rsidR="00AF6FA8" w:rsidRPr="00AF6FA8" w:rsidRDefault="00AF6FA8" w:rsidP="00AF6FA8">
      <w:pPr>
        <w:spacing w:after="0" w:line="240" w:lineRule="auto"/>
        <w:jc w:val="both"/>
        <w:rPr>
          <w:rFonts w:ascii="Bankinter Sans" w:hAnsi="Bankinter Sans" w:cs="Arial"/>
          <w:color w:val="000000" w:themeColor="text1"/>
          <w:sz w:val="20"/>
          <w:szCs w:val="20"/>
        </w:rPr>
      </w:pPr>
      <w:r w:rsidRPr="00AF6FA8">
        <w:rPr>
          <w:rFonts w:ascii="Bankinter Sans" w:hAnsi="Bankinter Sans" w:cs="Bankinter"/>
          <w:color w:val="000000" w:themeColor="text1"/>
          <w:sz w:val="20"/>
          <w:szCs w:val="20"/>
        </w:rPr>
        <w:t>El total de la inversión crediticia</w:t>
      </w:r>
      <w:r w:rsidRPr="00AF6FA8">
        <w:rPr>
          <w:rFonts w:ascii="Bankinter Sans" w:hAnsi="Bankinter Sans"/>
          <w:color w:val="000000" w:themeColor="text1"/>
          <w:sz w:val="20"/>
          <w:szCs w:val="20"/>
        </w:rPr>
        <w:t xml:space="preserve"> a clientes asciende a </w:t>
      </w:r>
      <w:r w:rsidRPr="00AF6FA8">
        <w:rPr>
          <w:rFonts w:ascii="Bankinter Sans" w:hAnsi="Bankinter Sans" w:cs="Arial"/>
          <w:color w:val="000000" w:themeColor="text1"/>
          <w:sz w:val="20"/>
          <w:szCs w:val="20"/>
        </w:rPr>
        <w:t>55.801,4 millones de euros, un 5,4% más que a la misma fecha de hace un año. Poniendo el foco en la cartera de inversión crediticia en España el dato es de 50.200 millones de euros, que comparan con los 48.000 millones de hace un año, lo que supone un crecimiento del 5%, cuando el sector ha vuelto a reducir su cartera en un 2,1% con datos a febrero del Banco de España.</w:t>
      </w:r>
    </w:p>
    <w:p w:rsidR="00AF6FA8" w:rsidRPr="00AF6FA8" w:rsidRDefault="00AF6FA8" w:rsidP="00AF6FA8">
      <w:pPr>
        <w:spacing w:after="0" w:line="240" w:lineRule="auto"/>
        <w:jc w:val="both"/>
        <w:rPr>
          <w:rFonts w:ascii="Bankinter Sans" w:hAnsi="Bankinter Sans" w:cs="Arial"/>
          <w:color w:val="000000" w:themeColor="text1"/>
          <w:sz w:val="20"/>
          <w:szCs w:val="20"/>
        </w:rPr>
      </w:pPr>
    </w:p>
    <w:p w:rsidR="00AF6FA8" w:rsidRPr="00AF6FA8" w:rsidRDefault="00AF6FA8" w:rsidP="00AF6FA8">
      <w:pPr>
        <w:spacing w:after="0" w:line="240" w:lineRule="auto"/>
        <w:jc w:val="both"/>
        <w:rPr>
          <w:rFonts w:ascii="Bankinter Sans" w:hAnsi="Bankinter Sans" w:cs="Arial"/>
          <w:color w:val="000000" w:themeColor="text1"/>
          <w:sz w:val="20"/>
          <w:szCs w:val="20"/>
        </w:rPr>
      </w:pPr>
      <w:r w:rsidRPr="00AF6FA8">
        <w:rPr>
          <w:rFonts w:ascii="Bankinter Sans" w:hAnsi="Bankinter Sans" w:cs="Bankinter"/>
          <w:color w:val="000000" w:themeColor="text1"/>
          <w:sz w:val="20"/>
          <w:szCs w:val="20"/>
        </w:rPr>
        <w:t xml:space="preserve">En cuanto a los recursos minoristas de clientes cierran este primer trimestre en </w:t>
      </w:r>
      <w:r w:rsidRPr="00AF6FA8">
        <w:rPr>
          <w:rFonts w:ascii="Bankinter Sans" w:hAnsi="Bankinter Sans" w:cs="Arial"/>
          <w:color w:val="000000" w:themeColor="text1"/>
          <w:sz w:val="20"/>
          <w:szCs w:val="20"/>
        </w:rPr>
        <w:t>51.579,4 millones de euros, lo que significa un 9,6</w:t>
      </w:r>
      <w:r w:rsidR="00F86E0B">
        <w:rPr>
          <w:rFonts w:ascii="Bankinter Sans" w:hAnsi="Bankinter Sans" w:cs="Arial"/>
          <w:color w:val="000000" w:themeColor="text1"/>
          <w:sz w:val="20"/>
          <w:szCs w:val="20"/>
        </w:rPr>
        <w:t>%</w:t>
      </w:r>
      <w:r w:rsidRPr="00AF6FA8">
        <w:rPr>
          <w:rFonts w:ascii="Bankinter Sans" w:hAnsi="Bankinter Sans" w:cs="Arial"/>
          <w:color w:val="000000" w:themeColor="text1"/>
          <w:sz w:val="20"/>
          <w:szCs w:val="20"/>
        </w:rPr>
        <w:t xml:space="preserve"> más que hace un año. Del total de ese volumen, 47.300 millones de euros corresponden a España, con un crecimiento del 9% en 12 meses, frente al 6,1% de crecimiento sectorial también con datos a febrero.</w:t>
      </w:r>
    </w:p>
    <w:p w:rsidR="00A55EFC" w:rsidRPr="00E4371C" w:rsidRDefault="00A55EFC" w:rsidP="00A55EFC">
      <w:pPr>
        <w:spacing w:after="0" w:line="240" w:lineRule="auto"/>
        <w:jc w:val="both"/>
        <w:rPr>
          <w:rFonts w:ascii="Bankinter Sans" w:hAnsi="Bankinter Sans" w:cs="Arial"/>
          <w:color w:val="000000" w:themeColor="text1"/>
          <w:sz w:val="20"/>
          <w:szCs w:val="20"/>
        </w:rPr>
      </w:pPr>
    </w:p>
    <w:p w:rsidR="00AF6FA8" w:rsidRPr="00E4371C" w:rsidRDefault="00707663" w:rsidP="00AF6FA8">
      <w:pPr>
        <w:autoSpaceDE w:val="0"/>
        <w:autoSpaceDN w:val="0"/>
        <w:adjustRightInd w:val="0"/>
        <w:spacing w:after="0" w:line="240" w:lineRule="auto"/>
        <w:jc w:val="both"/>
        <w:rPr>
          <w:rFonts w:ascii="Bankinter Sans" w:hAnsi="Bankinter Sans" w:cs="Bankinter"/>
          <w:b/>
          <w:color w:val="000000" w:themeColor="text1"/>
          <w:sz w:val="20"/>
          <w:szCs w:val="20"/>
          <w:u w:val="single"/>
        </w:rPr>
      </w:pPr>
      <w:r w:rsidRPr="00E4371C">
        <w:rPr>
          <w:rFonts w:ascii="Bankinter Sans" w:hAnsi="Bankinter Sans" w:cs="Bankinter"/>
          <w:b/>
          <w:color w:val="000000" w:themeColor="text1"/>
          <w:sz w:val="20"/>
          <w:szCs w:val="20"/>
          <w:u w:val="single"/>
        </w:rPr>
        <w:t xml:space="preserve">Líneas de negocio </w:t>
      </w:r>
      <w:r w:rsidR="00E4371C" w:rsidRPr="00E4371C">
        <w:rPr>
          <w:rFonts w:ascii="Bankinter Sans" w:hAnsi="Bankinter Sans" w:cs="Bankinter"/>
          <w:b/>
          <w:color w:val="000000" w:themeColor="text1"/>
          <w:sz w:val="20"/>
          <w:szCs w:val="20"/>
          <w:u w:val="single"/>
        </w:rPr>
        <w:t>complementarias y creciendo a buen ritmo</w:t>
      </w:r>
      <w:r w:rsidR="004B5E5C" w:rsidRPr="00E4371C">
        <w:rPr>
          <w:rFonts w:ascii="Bankinter Sans" w:hAnsi="Bankinter Sans" w:cs="Bankinter"/>
          <w:b/>
          <w:color w:val="000000" w:themeColor="text1"/>
          <w:sz w:val="20"/>
          <w:szCs w:val="20"/>
          <w:u w:val="single"/>
        </w:rPr>
        <w:t>.</w:t>
      </w:r>
    </w:p>
    <w:p w:rsidR="00AF6FA8" w:rsidRPr="00AF6FA8" w:rsidRDefault="00AF6FA8" w:rsidP="00AF6FA8">
      <w:pPr>
        <w:autoSpaceDE w:val="0"/>
        <w:autoSpaceDN w:val="0"/>
        <w:adjustRightInd w:val="0"/>
        <w:spacing w:after="0" w:line="240" w:lineRule="auto"/>
        <w:jc w:val="both"/>
        <w:rPr>
          <w:rFonts w:ascii="Bankinter Sans" w:hAnsi="Bankinter Sans" w:cs="Bankinter"/>
          <w:b/>
          <w:color w:val="0070C0"/>
          <w:sz w:val="20"/>
          <w:szCs w:val="20"/>
          <w:u w:val="single"/>
        </w:rPr>
      </w:pP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 xml:space="preserve">Los resultados ponen de manifiesto que el crecimiento orgánico es, trimestre a trimestre, la base del avance eficiente del banco, apoyado en el negocio recurrente con clientes. </w:t>
      </w: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Dentro de las cinco líneas estratégicas en las que se sustenta, Banca de Empresas es la que mayor contribución realiza al margen bruto de la entidad, un 27%. La cartera de inversión crediticia de este segmento persevera en su crecimiento hasta alcanzar los 23.900 millones de euros, frente a los 22.700 millones de hace un año. De esa cifra, 22.600 millones corresponden a la cartera crediticia empresarial en España, que supone un 4,3% más que hace un año, lo que contrasta con una reducción del 5,7% experimentada por el sector, con datos a febrero del Banco de España. Ello significa que Bankinter afianza su cuota de mercado en este negocio.</w:t>
      </w: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La mitad de</w:t>
      </w:r>
      <w:r w:rsidR="0000726C">
        <w:rPr>
          <w:rFonts w:ascii="Bankinter Sans" w:hAnsi="Bankinter Sans" w:cs="Bankinter"/>
          <w:color w:val="000000" w:themeColor="text1"/>
          <w:sz w:val="20"/>
          <w:szCs w:val="20"/>
        </w:rPr>
        <w:t>l crédito de</w:t>
      </w:r>
      <w:r w:rsidRPr="00AF6FA8">
        <w:rPr>
          <w:rFonts w:ascii="Bankinter Sans" w:hAnsi="Bankinter Sans" w:cs="Bankinter"/>
          <w:color w:val="000000" w:themeColor="text1"/>
          <w:sz w:val="20"/>
          <w:szCs w:val="20"/>
        </w:rPr>
        <w:t xml:space="preserve"> este segmento procede del negocio con pequeñas y medianas compañías, que ha aumentado un 8%, respectivamente. El restante 50% procede de grandes corporaciones. En el global de Banca de Empresas se incrementa un 4% el volumen de clientes activos.</w:t>
      </w: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r w:rsidRPr="00AF6FA8">
        <w:rPr>
          <w:rFonts w:ascii="Bankinter Sans" w:hAnsi="Bankinter Sans" w:cs="Bankinter"/>
          <w:color w:val="000000" w:themeColor="text1"/>
          <w:sz w:val="20"/>
          <w:szCs w:val="20"/>
        </w:rPr>
        <w:t>Dentro de su estrategia dirigida a convertirse en el banco de referencia de las empresas, Bankinter está impulsando el negocio de Banca Internacional con el fin de apoyar las operaciones empresariales en el exterior. Muestra de este impulso es el crecimiento de la inversión crediticia en Banca Internacional, del 25%, hasta situarse en 4.900 millones de euros. El margen bruto de esta actividad crece un 16%.</w:t>
      </w:r>
    </w:p>
    <w:p w:rsidR="00AF6FA8" w:rsidRPr="00AF6FA8" w:rsidRDefault="00AF6FA8" w:rsidP="00AF6FA8">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AF6FA8"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Banca de Inversión es otra de las áreas dentro del negocio con Empresas en las que Bankinter se está reforzando, como demuestra el crecimiento del 20% en la inversión, hasta totalizar 2.300 </w:t>
      </w:r>
      <w:r w:rsidRPr="00524D7A">
        <w:rPr>
          <w:rFonts w:ascii="Bankinter Sans" w:hAnsi="Bankinter Sans" w:cs="Bankinter"/>
          <w:color w:val="000000" w:themeColor="text1"/>
          <w:sz w:val="20"/>
          <w:szCs w:val="20"/>
        </w:rPr>
        <w:lastRenderedPageBreak/>
        <w:t>millones, con un incremento de los ingresos por comisiones del 75% y del 31% en el margen bruto.</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El segundo pilar estratégico del Grupo Bankinter pivota sobre la Banca Comercial, enfocada a personas físicas, que supone el 26% del margen bruto del banco. En él sobresalen Banca Privada y Banca Personal, negocios en los que la entidad se ha convertido en un referente en el mercado español.  </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El patrimonio bajo gestión de Banca Privada alcanza los 37.500 millones de euros frente a los 35.800 millones de hace un año, un 5% más, si bien el efecto mercado supuso un incremento de las carteras de 1.200 millones. El patrimonio nuevo captado en este primer trimestre entre los clientes de Banca Privada fue de 1.800 millones.</w:t>
      </w:r>
      <w:r w:rsidR="00457014">
        <w:rPr>
          <w:rFonts w:ascii="Bankinter Sans" w:hAnsi="Bankinter Sans" w:cs="Bankinter"/>
          <w:color w:val="000000" w:themeColor="text1"/>
          <w:sz w:val="20"/>
          <w:szCs w:val="20"/>
        </w:rPr>
        <w:t xml:space="preserve"> </w:t>
      </w:r>
      <w:r w:rsidRPr="00524D7A">
        <w:rPr>
          <w:rFonts w:ascii="Bankinter Sans" w:hAnsi="Bankinter Sans" w:cs="Bankinter"/>
          <w:color w:val="000000" w:themeColor="text1"/>
          <w:sz w:val="20"/>
          <w:szCs w:val="20"/>
        </w:rPr>
        <w:t>En Banca Personal, el volumen gestionado aumentó, igualmente, un 5%, hasta 22.500 millones.</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Destaca significativamente la evolución de los recursos típicos y de la inversión crediticia en Banca Comercial. Como ejemplo de lo anterior, sobresalen los datos de productos clave en la estrategia del banco, como la cartera de cuentas nómina o las hipotecas. El saldo total de la Cuenta Nómina creció un 23% y acumula un volumen de 8.700 millones de euros. </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Igualmente destacable es la nueva producción hipotecaria en España durante el primer trimestre, que aumentó un 9% en comparación con similar periodo de 2018, con un avance supeditado a una rigurosa política de riesgos, como lo demuestra el hecho de que el importe concedido en estos préstamos suponga el 65% de la garantía ofrecida por los clientes solicitantes, en el parámetro denominado </w:t>
      </w:r>
      <w:r w:rsidRPr="00524D7A">
        <w:rPr>
          <w:rFonts w:ascii="Bankinter Sans" w:hAnsi="Bankinter Sans" w:cs="Bankinter"/>
          <w:i/>
          <w:color w:val="000000" w:themeColor="text1"/>
          <w:sz w:val="20"/>
          <w:szCs w:val="20"/>
        </w:rPr>
        <w:t xml:space="preserve">Loan </w:t>
      </w:r>
      <w:proofErr w:type="spellStart"/>
      <w:r w:rsidRPr="00524D7A">
        <w:rPr>
          <w:rFonts w:ascii="Bankinter Sans" w:hAnsi="Bankinter Sans" w:cs="Bankinter"/>
          <w:i/>
          <w:color w:val="000000" w:themeColor="text1"/>
          <w:sz w:val="20"/>
          <w:szCs w:val="20"/>
        </w:rPr>
        <w:t>to</w:t>
      </w:r>
      <w:proofErr w:type="spellEnd"/>
      <w:r w:rsidRPr="00524D7A">
        <w:rPr>
          <w:rFonts w:ascii="Bankinter Sans" w:hAnsi="Bankinter Sans" w:cs="Bankinter"/>
          <w:i/>
          <w:color w:val="000000" w:themeColor="text1"/>
          <w:sz w:val="20"/>
          <w:szCs w:val="20"/>
        </w:rPr>
        <w:t xml:space="preserve"> </w:t>
      </w:r>
      <w:proofErr w:type="spellStart"/>
      <w:r w:rsidRPr="00524D7A">
        <w:rPr>
          <w:rFonts w:ascii="Bankinter Sans" w:hAnsi="Bankinter Sans" w:cs="Bankinter"/>
          <w:i/>
          <w:color w:val="000000" w:themeColor="text1"/>
          <w:sz w:val="20"/>
          <w:szCs w:val="20"/>
        </w:rPr>
        <w:t>Value</w:t>
      </w:r>
      <w:proofErr w:type="spellEnd"/>
      <w:r w:rsidRPr="00524D7A">
        <w:rPr>
          <w:rFonts w:ascii="Bankinter Sans" w:hAnsi="Bankinter Sans" w:cs="Bankinter"/>
          <w:color w:val="000000" w:themeColor="text1"/>
          <w:sz w:val="20"/>
          <w:szCs w:val="20"/>
        </w:rPr>
        <w:t xml:space="preserve">. </w:t>
      </w:r>
    </w:p>
    <w:p w:rsid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Con las nuevas operaciones hipotecarias, en la que los préstamos a tipo fijo ostentan un peso del 33%, Bankinter cierra el trimestre con una cuota de mercado del 5,8%. El saldo total hipotecario suma ya 22.200 millones en el mercado español, con un </w:t>
      </w:r>
      <w:r w:rsidRPr="00524D7A">
        <w:rPr>
          <w:rFonts w:ascii="Bankinter Sans" w:hAnsi="Bankinter Sans" w:cs="Bankinter"/>
          <w:i/>
          <w:color w:val="000000" w:themeColor="text1"/>
          <w:sz w:val="20"/>
          <w:szCs w:val="20"/>
        </w:rPr>
        <w:t xml:space="preserve">Loan </w:t>
      </w:r>
      <w:proofErr w:type="spellStart"/>
      <w:r w:rsidRPr="00524D7A">
        <w:rPr>
          <w:rFonts w:ascii="Bankinter Sans" w:hAnsi="Bankinter Sans" w:cs="Bankinter"/>
          <w:i/>
          <w:color w:val="000000" w:themeColor="text1"/>
          <w:sz w:val="20"/>
          <w:szCs w:val="20"/>
        </w:rPr>
        <w:t>to</w:t>
      </w:r>
      <w:proofErr w:type="spellEnd"/>
      <w:r w:rsidRPr="00524D7A">
        <w:rPr>
          <w:rFonts w:ascii="Bankinter Sans" w:hAnsi="Bankinter Sans" w:cs="Bankinter"/>
          <w:i/>
          <w:color w:val="000000" w:themeColor="text1"/>
          <w:sz w:val="20"/>
          <w:szCs w:val="20"/>
        </w:rPr>
        <w:t xml:space="preserve"> </w:t>
      </w:r>
      <w:proofErr w:type="spellStart"/>
      <w:r w:rsidRPr="00524D7A">
        <w:rPr>
          <w:rFonts w:ascii="Bankinter Sans" w:hAnsi="Bankinter Sans" w:cs="Bankinter"/>
          <w:i/>
          <w:color w:val="000000" w:themeColor="text1"/>
          <w:sz w:val="20"/>
          <w:szCs w:val="20"/>
        </w:rPr>
        <w:t>Value</w:t>
      </w:r>
      <w:proofErr w:type="spellEnd"/>
      <w:r w:rsidRPr="00524D7A">
        <w:rPr>
          <w:rFonts w:ascii="Bankinter Sans" w:hAnsi="Bankinter Sans" w:cs="Bankinter"/>
          <w:color w:val="000000" w:themeColor="text1"/>
          <w:sz w:val="20"/>
          <w:szCs w:val="20"/>
        </w:rPr>
        <w:t xml:space="preserve"> del 59% y un 7% de hipotecas a tipo fijo.</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Default="00524D7A" w:rsidP="00524D7A">
      <w:pPr>
        <w:autoSpaceDE w:val="0"/>
        <w:autoSpaceDN w:val="0"/>
        <w:adjustRightInd w:val="0"/>
        <w:spacing w:after="0" w:line="240" w:lineRule="auto"/>
        <w:jc w:val="both"/>
        <w:rPr>
          <w:rFonts w:ascii="Bankinter Sans" w:eastAsiaTheme="minorHAnsi" w:hAnsi="Bankinter Sans" w:cs="BankinterSans-Light"/>
          <w:sz w:val="20"/>
          <w:szCs w:val="20"/>
          <w:lang w:eastAsia="en-US"/>
        </w:rPr>
      </w:pPr>
      <w:r w:rsidRPr="00524D7A">
        <w:rPr>
          <w:rFonts w:ascii="Bankinter Sans" w:hAnsi="Bankinter Sans" w:cs="Bankinter"/>
          <w:color w:val="000000" w:themeColor="text1"/>
          <w:sz w:val="20"/>
          <w:szCs w:val="20"/>
        </w:rPr>
        <w:t xml:space="preserve">Por su parte, Línea Directa Aseguradora, compañía 100% propiedad de Bankinter, aportó al margen bruto un 20%, con un crecimiento en primas del 7,2%, hasta 218,6 millones, y con una cartera de clientes un 7,7% superior a la de hace un año: cuenta con 3,08 millones de asegurados. </w:t>
      </w:r>
      <w:r w:rsidRPr="00524D7A">
        <w:rPr>
          <w:rFonts w:ascii="Bankinter Sans" w:eastAsiaTheme="minorHAnsi" w:hAnsi="Bankinter Sans" w:cs="BankinterSans-Light"/>
          <w:sz w:val="20"/>
          <w:szCs w:val="20"/>
          <w:lang w:eastAsia="en-US"/>
        </w:rPr>
        <w:t>En cuanto al ratio combinado del Grupo Línea Directa asciende al 87,6%, y con un ROE del 38%.</w:t>
      </w:r>
    </w:p>
    <w:p w:rsidR="00524D7A" w:rsidRDefault="00524D7A" w:rsidP="00524D7A">
      <w:pPr>
        <w:autoSpaceDE w:val="0"/>
        <w:autoSpaceDN w:val="0"/>
        <w:adjustRightInd w:val="0"/>
        <w:spacing w:after="0" w:line="240" w:lineRule="auto"/>
        <w:jc w:val="both"/>
        <w:rPr>
          <w:rFonts w:ascii="Bankinter Sans" w:eastAsiaTheme="minorHAnsi" w:hAnsi="Bankinter Sans" w:cs="BankinterSans-Light"/>
          <w:sz w:val="20"/>
          <w:szCs w:val="20"/>
          <w:lang w:eastAsia="en-US"/>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En lo que respecta al negocio de Consumo, operado por Bankinter </w:t>
      </w:r>
      <w:proofErr w:type="spellStart"/>
      <w:r w:rsidRPr="00524D7A">
        <w:rPr>
          <w:rFonts w:ascii="Bankinter Sans" w:hAnsi="Bankinter Sans" w:cs="Bankinter"/>
          <w:color w:val="000000" w:themeColor="text1"/>
          <w:sz w:val="20"/>
          <w:szCs w:val="20"/>
        </w:rPr>
        <w:t>Consumer</w:t>
      </w:r>
      <w:proofErr w:type="spellEnd"/>
      <w:r w:rsidRPr="00524D7A">
        <w:rPr>
          <w:rFonts w:ascii="Bankinter Sans" w:hAnsi="Bankinter Sans" w:cs="Bankinter"/>
          <w:color w:val="000000" w:themeColor="text1"/>
          <w:sz w:val="20"/>
          <w:szCs w:val="20"/>
        </w:rPr>
        <w:t xml:space="preserve"> </w:t>
      </w:r>
      <w:proofErr w:type="spellStart"/>
      <w:r w:rsidRPr="00524D7A">
        <w:rPr>
          <w:rFonts w:ascii="Bankinter Sans" w:hAnsi="Bankinter Sans" w:cs="Bankinter"/>
          <w:color w:val="000000" w:themeColor="text1"/>
          <w:sz w:val="20"/>
          <w:szCs w:val="20"/>
        </w:rPr>
        <w:t>Finance</w:t>
      </w:r>
      <w:proofErr w:type="spellEnd"/>
      <w:r w:rsidRPr="00524D7A">
        <w:rPr>
          <w:rFonts w:ascii="Bankinter Sans" w:hAnsi="Bankinter Sans" w:cs="Bankinter"/>
          <w:color w:val="000000" w:themeColor="text1"/>
          <w:sz w:val="20"/>
          <w:szCs w:val="20"/>
        </w:rPr>
        <w:t>, siguió mostrando una línea de crecimiento exitosa, con un incremento del 31% en inversión, que se situó en 2.100 millones, y un aumento del 18% en la cartera de clientes, que ya suman 1,3 millones.</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Mientras, Bankinter Portugal, la línea de negocio más recientemente incorporada al banco, mostró, un trimestre más, un vigoroso avance. El Beneficio Antes de Impuestos se incrementó un 16%, hasta 22 millones de euros. Asimismo, tanto la inversión crediticia como los recursos captados crecieron un 12%, al alcanzar 5.600 millones de euros y 4.300 millones, respectivamente.</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Como balance, todas las líneas de negocio mencionadas se nutren de una base de clientes mayoritariamente digital: el 92,7% de ellos se relacionan con el banco vía móvil, PC o tableta, y el 66% recurre a la firma digital para diversas operaciones.</w:t>
      </w: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p>
    <w:p w:rsidR="00524D7A" w:rsidRPr="00524D7A" w:rsidRDefault="00524D7A" w:rsidP="00524D7A">
      <w:pPr>
        <w:autoSpaceDE w:val="0"/>
        <w:autoSpaceDN w:val="0"/>
        <w:adjustRightInd w:val="0"/>
        <w:spacing w:after="0" w:line="240" w:lineRule="auto"/>
        <w:jc w:val="both"/>
        <w:rPr>
          <w:rFonts w:ascii="Bankinter Sans" w:hAnsi="Bankinter Sans" w:cs="Bankinter"/>
          <w:color w:val="000000" w:themeColor="text1"/>
          <w:sz w:val="20"/>
          <w:szCs w:val="20"/>
        </w:rPr>
      </w:pPr>
      <w:r w:rsidRPr="00524D7A">
        <w:rPr>
          <w:rFonts w:ascii="Bankinter Sans" w:hAnsi="Bankinter Sans" w:cs="Bankinter"/>
          <w:color w:val="000000" w:themeColor="text1"/>
          <w:sz w:val="20"/>
          <w:szCs w:val="20"/>
        </w:rPr>
        <w:t xml:space="preserve">Capítulo aparte merece la operación corporativa que Bankinter prevé cerrar este trimestre, la ya anunciada adquisición del negocio minorista de EVO Banco y de la filial de crédito al consumo en </w:t>
      </w:r>
      <w:r w:rsidRPr="00524D7A">
        <w:rPr>
          <w:rFonts w:ascii="Bankinter Sans" w:hAnsi="Bankinter Sans" w:cs="Bankinter"/>
          <w:color w:val="000000" w:themeColor="text1"/>
          <w:sz w:val="20"/>
          <w:szCs w:val="20"/>
        </w:rPr>
        <w:lastRenderedPageBreak/>
        <w:t xml:space="preserve">Irlanda, </w:t>
      </w:r>
      <w:proofErr w:type="spellStart"/>
      <w:r w:rsidRPr="00524D7A">
        <w:rPr>
          <w:rFonts w:ascii="Bankinter Sans" w:hAnsi="Bankinter Sans" w:cs="Bankinter"/>
          <w:color w:val="000000" w:themeColor="text1"/>
          <w:sz w:val="20"/>
          <w:szCs w:val="20"/>
        </w:rPr>
        <w:t>Avantcard</w:t>
      </w:r>
      <w:proofErr w:type="spellEnd"/>
      <w:r w:rsidRPr="00524D7A">
        <w:rPr>
          <w:rFonts w:ascii="Bankinter Sans" w:hAnsi="Bankinter Sans" w:cs="Bankinter"/>
          <w:color w:val="000000" w:themeColor="text1"/>
          <w:sz w:val="20"/>
          <w:szCs w:val="20"/>
        </w:rPr>
        <w:t>. Con estas incorporaciones, el Grupo Bankinter impulsará tanto su diversificación geográfica, al entrar en un nuevo mercado de la Eurozona, como la de su cartera de clientes, al sumar usuarios de perfil más joven y 100% digital. Todo ello redundará en un avance en la trayectoria del Grupo Bankinter.</w:t>
      </w:r>
    </w:p>
    <w:p w:rsidR="00A55EFC" w:rsidRPr="00AF6FA8" w:rsidRDefault="00A55EFC" w:rsidP="00A55EFC">
      <w:pPr>
        <w:autoSpaceDE w:val="0"/>
        <w:autoSpaceDN w:val="0"/>
        <w:adjustRightInd w:val="0"/>
        <w:spacing w:after="0" w:line="240" w:lineRule="auto"/>
        <w:jc w:val="both"/>
        <w:rPr>
          <w:rFonts w:ascii="Bankinter Sans" w:hAnsi="Bankinter Sans" w:cs="Bankinter"/>
          <w:color w:val="0070C0"/>
          <w:sz w:val="20"/>
          <w:szCs w:val="20"/>
        </w:rPr>
      </w:pPr>
    </w:p>
    <w:sectPr w:rsidR="00A55EFC" w:rsidRPr="00AF6FA8" w:rsidSect="00894AB8">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1112" w:rsidRDefault="00FA1112" w:rsidP="00A2498F">
      <w:pPr>
        <w:spacing w:after="0" w:line="240" w:lineRule="auto"/>
      </w:pPr>
      <w:r>
        <w:separator/>
      </w:r>
    </w:p>
  </w:endnote>
  <w:endnote w:type="continuationSeparator" w:id="0">
    <w:p w:rsidR="00FA1112" w:rsidRDefault="00FA1112" w:rsidP="00A2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nkinter">
    <w:panose1 w:val="00000000000000000000"/>
    <w:charset w:val="00"/>
    <w:family w:val="auto"/>
    <w:pitch w:val="variable"/>
    <w:sig w:usb0="800000AF" w:usb1="1000204B" w:usb2="00000000" w:usb3="00000000" w:csb0="00000001" w:csb1="00000000"/>
  </w:font>
  <w:font w:name="Tahoma">
    <w:panose1 w:val="020B0604030504040204"/>
    <w:charset w:val="00"/>
    <w:family w:val="swiss"/>
    <w:pitch w:val="variable"/>
    <w:sig w:usb0="E1002EFF" w:usb1="C000605B" w:usb2="00000029" w:usb3="00000000" w:csb0="000101FF" w:csb1="00000000"/>
  </w:font>
  <w:font w:name="Bankinter Sans">
    <w:panose1 w:val="00000000000000000000"/>
    <w:charset w:val="00"/>
    <w:family w:val="auto"/>
    <w:pitch w:val="variable"/>
    <w:sig w:usb0="800002EF" w:usb1="0000205B"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ankinterSans-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66720"/>
      <w:docPartObj>
        <w:docPartGallery w:val="Page Numbers (Bottom of Page)"/>
        <w:docPartUnique/>
      </w:docPartObj>
    </w:sdt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666BE9" w:rsidRPr="00A2498F" w:rsidTr="00A2498F">
          <w:tc>
            <w:tcPr>
              <w:tcW w:w="4322" w:type="dxa"/>
            </w:tcPr>
            <w:p w:rsidR="00666BE9" w:rsidRDefault="00666BE9" w:rsidP="00A2498F">
              <w:pPr>
                <w:pStyle w:val="Piedepgina"/>
              </w:pPr>
            </w:p>
          </w:tc>
          <w:tc>
            <w:tcPr>
              <w:tcW w:w="4322" w:type="dxa"/>
            </w:tcPr>
            <w:p w:rsidR="00666BE9" w:rsidRPr="00A2498F" w:rsidRDefault="00666BE9" w:rsidP="00A2498F">
              <w:pPr>
                <w:pStyle w:val="Piedepgina"/>
                <w:jc w:val="right"/>
                <w:rPr>
                  <w:sz w:val="20"/>
                  <w:szCs w:val="20"/>
                </w:rPr>
              </w:pPr>
            </w:p>
          </w:tc>
        </w:tr>
      </w:tbl>
      <w:p w:rsidR="00666BE9" w:rsidRDefault="00035E15">
        <w:pPr>
          <w:pStyle w:val="Piedepgina"/>
          <w:jc w:val="right"/>
        </w:pPr>
      </w:p>
    </w:sdtContent>
  </w:sdt>
  <w:p w:rsidR="00666BE9" w:rsidRDefault="00666B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1112" w:rsidRDefault="00FA1112" w:rsidP="00A2498F">
      <w:pPr>
        <w:spacing w:after="0" w:line="240" w:lineRule="auto"/>
      </w:pPr>
      <w:r>
        <w:separator/>
      </w:r>
    </w:p>
  </w:footnote>
  <w:footnote w:type="continuationSeparator" w:id="0">
    <w:p w:rsidR="00FA1112" w:rsidRDefault="00FA1112" w:rsidP="00A24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FE6384"/>
    <w:multiLevelType w:val="hybridMultilevel"/>
    <w:tmpl w:val="262268CC"/>
    <w:lvl w:ilvl="0" w:tplc="87C04F28">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15:restartNumberingAfterBreak="0">
    <w:nsid w:val="50731C7F"/>
    <w:multiLevelType w:val="hybridMultilevel"/>
    <w:tmpl w:val="B7AE3EAC"/>
    <w:lvl w:ilvl="0" w:tplc="C1E26F48">
      <w:start w:val="16"/>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9CE02F2"/>
    <w:multiLevelType w:val="hybridMultilevel"/>
    <w:tmpl w:val="3EE67EF2"/>
    <w:lvl w:ilvl="0" w:tplc="AACABAD2">
      <w:start w:val="1"/>
      <w:numFmt w:val="bullet"/>
      <w:lvlText w:val="•"/>
      <w:lvlJc w:val="left"/>
      <w:pPr>
        <w:tabs>
          <w:tab w:val="num" w:pos="720"/>
        </w:tabs>
        <w:ind w:left="720" w:hanging="360"/>
      </w:pPr>
      <w:rPr>
        <w:rFonts w:ascii="Arial" w:hAnsi="Arial" w:hint="default"/>
      </w:rPr>
    </w:lvl>
    <w:lvl w:ilvl="1" w:tplc="BC4E96BC">
      <w:start w:val="1"/>
      <w:numFmt w:val="bullet"/>
      <w:lvlText w:val="•"/>
      <w:lvlJc w:val="left"/>
      <w:pPr>
        <w:tabs>
          <w:tab w:val="num" w:pos="1440"/>
        </w:tabs>
        <w:ind w:left="1440" w:hanging="360"/>
      </w:pPr>
      <w:rPr>
        <w:rFonts w:ascii="Arial" w:hAnsi="Arial" w:hint="default"/>
      </w:rPr>
    </w:lvl>
    <w:lvl w:ilvl="2" w:tplc="3464518A" w:tentative="1">
      <w:start w:val="1"/>
      <w:numFmt w:val="bullet"/>
      <w:lvlText w:val="•"/>
      <w:lvlJc w:val="left"/>
      <w:pPr>
        <w:tabs>
          <w:tab w:val="num" w:pos="2160"/>
        </w:tabs>
        <w:ind w:left="2160" w:hanging="360"/>
      </w:pPr>
      <w:rPr>
        <w:rFonts w:ascii="Arial" w:hAnsi="Arial" w:hint="default"/>
      </w:rPr>
    </w:lvl>
    <w:lvl w:ilvl="3" w:tplc="7FD6A8E6" w:tentative="1">
      <w:start w:val="1"/>
      <w:numFmt w:val="bullet"/>
      <w:lvlText w:val="•"/>
      <w:lvlJc w:val="left"/>
      <w:pPr>
        <w:tabs>
          <w:tab w:val="num" w:pos="2880"/>
        </w:tabs>
        <w:ind w:left="2880" w:hanging="360"/>
      </w:pPr>
      <w:rPr>
        <w:rFonts w:ascii="Arial" w:hAnsi="Arial" w:hint="default"/>
      </w:rPr>
    </w:lvl>
    <w:lvl w:ilvl="4" w:tplc="FB103226" w:tentative="1">
      <w:start w:val="1"/>
      <w:numFmt w:val="bullet"/>
      <w:lvlText w:val="•"/>
      <w:lvlJc w:val="left"/>
      <w:pPr>
        <w:tabs>
          <w:tab w:val="num" w:pos="3600"/>
        </w:tabs>
        <w:ind w:left="3600" w:hanging="360"/>
      </w:pPr>
      <w:rPr>
        <w:rFonts w:ascii="Arial" w:hAnsi="Arial" w:hint="default"/>
      </w:rPr>
    </w:lvl>
    <w:lvl w:ilvl="5" w:tplc="3BF481B8" w:tentative="1">
      <w:start w:val="1"/>
      <w:numFmt w:val="bullet"/>
      <w:lvlText w:val="•"/>
      <w:lvlJc w:val="left"/>
      <w:pPr>
        <w:tabs>
          <w:tab w:val="num" w:pos="4320"/>
        </w:tabs>
        <w:ind w:left="4320" w:hanging="360"/>
      </w:pPr>
      <w:rPr>
        <w:rFonts w:ascii="Arial" w:hAnsi="Arial" w:hint="default"/>
      </w:rPr>
    </w:lvl>
    <w:lvl w:ilvl="6" w:tplc="FA16CA46" w:tentative="1">
      <w:start w:val="1"/>
      <w:numFmt w:val="bullet"/>
      <w:lvlText w:val="•"/>
      <w:lvlJc w:val="left"/>
      <w:pPr>
        <w:tabs>
          <w:tab w:val="num" w:pos="5040"/>
        </w:tabs>
        <w:ind w:left="5040" w:hanging="360"/>
      </w:pPr>
      <w:rPr>
        <w:rFonts w:ascii="Arial" w:hAnsi="Arial" w:hint="default"/>
      </w:rPr>
    </w:lvl>
    <w:lvl w:ilvl="7" w:tplc="74404F66" w:tentative="1">
      <w:start w:val="1"/>
      <w:numFmt w:val="bullet"/>
      <w:lvlText w:val="•"/>
      <w:lvlJc w:val="left"/>
      <w:pPr>
        <w:tabs>
          <w:tab w:val="num" w:pos="5760"/>
        </w:tabs>
        <w:ind w:left="5760" w:hanging="360"/>
      </w:pPr>
      <w:rPr>
        <w:rFonts w:ascii="Arial" w:hAnsi="Arial" w:hint="default"/>
      </w:rPr>
    </w:lvl>
    <w:lvl w:ilvl="8" w:tplc="5AD05064" w:tentative="1">
      <w:start w:val="1"/>
      <w:numFmt w:val="bullet"/>
      <w:lvlText w:val="•"/>
      <w:lvlJc w:val="left"/>
      <w:pPr>
        <w:tabs>
          <w:tab w:val="num" w:pos="6480"/>
        </w:tabs>
        <w:ind w:left="6480" w:hanging="360"/>
      </w:pPr>
      <w:rPr>
        <w:rFonts w:ascii="Arial" w:hAnsi="Arial"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CE"/>
    <w:rsid w:val="0000726C"/>
    <w:rsid w:val="000110DC"/>
    <w:rsid w:val="00035E15"/>
    <w:rsid w:val="00060E17"/>
    <w:rsid w:val="000639ED"/>
    <w:rsid w:val="00067D33"/>
    <w:rsid w:val="000756EA"/>
    <w:rsid w:val="00080871"/>
    <w:rsid w:val="000A16A7"/>
    <w:rsid w:val="000A59BD"/>
    <w:rsid w:val="000C33EE"/>
    <w:rsid w:val="000C4D13"/>
    <w:rsid w:val="000E1C32"/>
    <w:rsid w:val="00105CC8"/>
    <w:rsid w:val="00127E18"/>
    <w:rsid w:val="00130076"/>
    <w:rsid w:val="00144949"/>
    <w:rsid w:val="00152186"/>
    <w:rsid w:val="00177015"/>
    <w:rsid w:val="001813C1"/>
    <w:rsid w:val="00184616"/>
    <w:rsid w:val="001A3563"/>
    <w:rsid w:val="001A69E1"/>
    <w:rsid w:val="001E2CB2"/>
    <w:rsid w:val="001F4DD6"/>
    <w:rsid w:val="002173F8"/>
    <w:rsid w:val="00230FD0"/>
    <w:rsid w:val="00245503"/>
    <w:rsid w:val="002516BD"/>
    <w:rsid w:val="00262BAF"/>
    <w:rsid w:val="0027532F"/>
    <w:rsid w:val="002A0E43"/>
    <w:rsid w:val="002A353E"/>
    <w:rsid w:val="002A4AC2"/>
    <w:rsid w:val="002B24CE"/>
    <w:rsid w:val="002C345E"/>
    <w:rsid w:val="00306FC7"/>
    <w:rsid w:val="00323411"/>
    <w:rsid w:val="00325BEF"/>
    <w:rsid w:val="003519FE"/>
    <w:rsid w:val="003C5C35"/>
    <w:rsid w:val="0040210C"/>
    <w:rsid w:val="00412D20"/>
    <w:rsid w:val="00416C61"/>
    <w:rsid w:val="00430C42"/>
    <w:rsid w:val="00432B22"/>
    <w:rsid w:val="004526E2"/>
    <w:rsid w:val="00456FA6"/>
    <w:rsid w:val="00457014"/>
    <w:rsid w:val="0049153A"/>
    <w:rsid w:val="00493AD6"/>
    <w:rsid w:val="004A7346"/>
    <w:rsid w:val="004B5E5C"/>
    <w:rsid w:val="004B6011"/>
    <w:rsid w:val="004B6DCE"/>
    <w:rsid w:val="004D6ABC"/>
    <w:rsid w:val="004F5DE8"/>
    <w:rsid w:val="005211C0"/>
    <w:rsid w:val="00524D7A"/>
    <w:rsid w:val="00541C67"/>
    <w:rsid w:val="005557E1"/>
    <w:rsid w:val="00563227"/>
    <w:rsid w:val="005735D2"/>
    <w:rsid w:val="00582863"/>
    <w:rsid w:val="00594028"/>
    <w:rsid w:val="005B4CD4"/>
    <w:rsid w:val="005B62EF"/>
    <w:rsid w:val="005B67E8"/>
    <w:rsid w:val="005E4AE4"/>
    <w:rsid w:val="006071A9"/>
    <w:rsid w:val="00614AB6"/>
    <w:rsid w:val="00630CFA"/>
    <w:rsid w:val="00635F56"/>
    <w:rsid w:val="00666BE9"/>
    <w:rsid w:val="006753E7"/>
    <w:rsid w:val="00677C94"/>
    <w:rsid w:val="00680C40"/>
    <w:rsid w:val="006B065A"/>
    <w:rsid w:val="006D0B19"/>
    <w:rsid w:val="006D47D0"/>
    <w:rsid w:val="006E1ABD"/>
    <w:rsid w:val="006E6932"/>
    <w:rsid w:val="006F3B66"/>
    <w:rsid w:val="00706C4D"/>
    <w:rsid w:val="00707663"/>
    <w:rsid w:val="00713ABE"/>
    <w:rsid w:val="00726B30"/>
    <w:rsid w:val="00756BF7"/>
    <w:rsid w:val="00786723"/>
    <w:rsid w:val="007A3CC2"/>
    <w:rsid w:val="007D55A6"/>
    <w:rsid w:val="007E0682"/>
    <w:rsid w:val="007E0ED8"/>
    <w:rsid w:val="007F5394"/>
    <w:rsid w:val="0081669D"/>
    <w:rsid w:val="0081686E"/>
    <w:rsid w:val="00842A3E"/>
    <w:rsid w:val="00894AB8"/>
    <w:rsid w:val="008A5DBF"/>
    <w:rsid w:val="008B3B5C"/>
    <w:rsid w:val="008C5989"/>
    <w:rsid w:val="008C6D97"/>
    <w:rsid w:val="008F0977"/>
    <w:rsid w:val="008F4B03"/>
    <w:rsid w:val="009005A3"/>
    <w:rsid w:val="00903022"/>
    <w:rsid w:val="00913786"/>
    <w:rsid w:val="009216AE"/>
    <w:rsid w:val="00946271"/>
    <w:rsid w:val="009513A0"/>
    <w:rsid w:val="009A3886"/>
    <w:rsid w:val="009A3BFD"/>
    <w:rsid w:val="009B6121"/>
    <w:rsid w:val="009C6386"/>
    <w:rsid w:val="00A00C90"/>
    <w:rsid w:val="00A047D5"/>
    <w:rsid w:val="00A202A1"/>
    <w:rsid w:val="00A2498F"/>
    <w:rsid w:val="00A31D24"/>
    <w:rsid w:val="00A53884"/>
    <w:rsid w:val="00A55EFC"/>
    <w:rsid w:val="00A6653A"/>
    <w:rsid w:val="00A95FD0"/>
    <w:rsid w:val="00AA41A6"/>
    <w:rsid w:val="00AD06BF"/>
    <w:rsid w:val="00AD2CED"/>
    <w:rsid w:val="00AE26A4"/>
    <w:rsid w:val="00AF1C29"/>
    <w:rsid w:val="00AF6FA8"/>
    <w:rsid w:val="00B24E27"/>
    <w:rsid w:val="00B44BAA"/>
    <w:rsid w:val="00B46143"/>
    <w:rsid w:val="00B52EF2"/>
    <w:rsid w:val="00B66053"/>
    <w:rsid w:val="00B76DAB"/>
    <w:rsid w:val="00B861AC"/>
    <w:rsid w:val="00BB7025"/>
    <w:rsid w:val="00C22C39"/>
    <w:rsid w:val="00C273AD"/>
    <w:rsid w:val="00C3024B"/>
    <w:rsid w:val="00C60413"/>
    <w:rsid w:val="00C66CC7"/>
    <w:rsid w:val="00C7679D"/>
    <w:rsid w:val="00C814AE"/>
    <w:rsid w:val="00C82347"/>
    <w:rsid w:val="00C87440"/>
    <w:rsid w:val="00CA37C1"/>
    <w:rsid w:val="00CA39E2"/>
    <w:rsid w:val="00CB452E"/>
    <w:rsid w:val="00CB7992"/>
    <w:rsid w:val="00CC56D8"/>
    <w:rsid w:val="00CE702D"/>
    <w:rsid w:val="00CE7EA9"/>
    <w:rsid w:val="00D024FE"/>
    <w:rsid w:val="00D05718"/>
    <w:rsid w:val="00D46CDB"/>
    <w:rsid w:val="00D516D1"/>
    <w:rsid w:val="00D5556D"/>
    <w:rsid w:val="00D61FB1"/>
    <w:rsid w:val="00D72C10"/>
    <w:rsid w:val="00D957AF"/>
    <w:rsid w:val="00D95F35"/>
    <w:rsid w:val="00D97413"/>
    <w:rsid w:val="00DA1050"/>
    <w:rsid w:val="00DB37A5"/>
    <w:rsid w:val="00DD00EE"/>
    <w:rsid w:val="00DD276D"/>
    <w:rsid w:val="00DF0722"/>
    <w:rsid w:val="00E14404"/>
    <w:rsid w:val="00E31A92"/>
    <w:rsid w:val="00E3484D"/>
    <w:rsid w:val="00E35464"/>
    <w:rsid w:val="00E37624"/>
    <w:rsid w:val="00E4371C"/>
    <w:rsid w:val="00E56975"/>
    <w:rsid w:val="00E56E20"/>
    <w:rsid w:val="00E70721"/>
    <w:rsid w:val="00E7338D"/>
    <w:rsid w:val="00E977E2"/>
    <w:rsid w:val="00E97909"/>
    <w:rsid w:val="00EB0905"/>
    <w:rsid w:val="00EB18A2"/>
    <w:rsid w:val="00EC7149"/>
    <w:rsid w:val="00F60E85"/>
    <w:rsid w:val="00F8052B"/>
    <w:rsid w:val="00F86E0B"/>
    <w:rsid w:val="00F90AB2"/>
    <w:rsid w:val="00FA1112"/>
    <w:rsid w:val="00FC1F13"/>
    <w:rsid w:val="00FE3A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5A00861-94BF-4631-8116-2E25648B9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5735D2"/>
    <w:pPr>
      <w:keepNext/>
      <w:keepLines/>
      <w:spacing w:before="480" w:after="0"/>
      <w:outlineLvl w:val="0"/>
    </w:pPr>
    <w:rPr>
      <w:rFonts w:asciiTheme="majorHAnsi" w:eastAsiaTheme="majorEastAsia" w:hAnsiTheme="majorHAnsi" w:cstheme="majorBidi"/>
      <w:b/>
      <w:bCs/>
      <w:color w:val="F56600" w:themeColor="text2"/>
      <w:sz w:val="28"/>
      <w:szCs w:val="28"/>
    </w:rPr>
  </w:style>
  <w:style w:type="paragraph" w:styleId="Ttulo2">
    <w:name w:val="heading 2"/>
    <w:basedOn w:val="Normal"/>
    <w:next w:val="Normal"/>
    <w:link w:val="Ttulo2Car"/>
    <w:uiPriority w:val="9"/>
    <w:semiHidden/>
    <w:unhideWhenUsed/>
    <w:qFormat/>
    <w:rsid w:val="005735D2"/>
    <w:pPr>
      <w:keepNext/>
      <w:keepLines/>
      <w:spacing w:before="200" w:after="0"/>
      <w:outlineLvl w:val="1"/>
    </w:pPr>
    <w:rPr>
      <w:rFonts w:asciiTheme="majorHAnsi" w:eastAsiaTheme="majorEastAsia" w:hAnsiTheme="majorHAnsi" w:cstheme="majorBidi"/>
      <w:b/>
      <w:bCs/>
      <w:color w:val="F56600" w:themeColor="text2"/>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35D2"/>
    <w:rPr>
      <w:rFonts w:asciiTheme="majorHAnsi" w:eastAsiaTheme="majorEastAsia" w:hAnsiTheme="majorHAnsi" w:cstheme="majorBidi"/>
      <w:b/>
      <w:bCs/>
      <w:color w:val="F56600" w:themeColor="text2"/>
      <w:sz w:val="28"/>
      <w:szCs w:val="28"/>
    </w:rPr>
  </w:style>
  <w:style w:type="character" w:customStyle="1" w:styleId="Ttulo2Car">
    <w:name w:val="Título 2 Car"/>
    <w:basedOn w:val="Fuentedeprrafopredeter"/>
    <w:link w:val="Ttulo2"/>
    <w:uiPriority w:val="9"/>
    <w:semiHidden/>
    <w:rsid w:val="005735D2"/>
    <w:rPr>
      <w:rFonts w:asciiTheme="majorHAnsi" w:eastAsiaTheme="majorEastAsia" w:hAnsiTheme="majorHAnsi" w:cstheme="majorBidi"/>
      <w:b/>
      <w:bCs/>
      <w:color w:val="F56600" w:themeColor="text2"/>
      <w:sz w:val="26"/>
      <w:szCs w:val="26"/>
    </w:rPr>
  </w:style>
  <w:style w:type="paragraph" w:styleId="Ttulo">
    <w:name w:val="Title"/>
    <w:basedOn w:val="Normal"/>
    <w:next w:val="Normal"/>
    <w:link w:val="TtuloCar"/>
    <w:uiPriority w:val="10"/>
    <w:qFormat/>
    <w:rsid w:val="005735D2"/>
    <w:pPr>
      <w:pBdr>
        <w:bottom w:val="single" w:sz="8" w:space="4" w:color="FFFF99" w:themeColor="accent1"/>
      </w:pBdr>
      <w:spacing w:after="300" w:line="240" w:lineRule="auto"/>
      <w:contextualSpacing/>
    </w:pPr>
    <w:rPr>
      <w:rFonts w:asciiTheme="majorHAnsi" w:eastAsiaTheme="majorEastAsia" w:hAnsiTheme="majorHAnsi" w:cstheme="majorBidi"/>
      <w:color w:val="63544A"/>
      <w:spacing w:val="5"/>
      <w:kern w:val="28"/>
      <w:sz w:val="52"/>
      <w:szCs w:val="52"/>
    </w:rPr>
  </w:style>
  <w:style w:type="character" w:customStyle="1" w:styleId="TtuloCar">
    <w:name w:val="Título Car"/>
    <w:basedOn w:val="Fuentedeprrafopredeter"/>
    <w:link w:val="Ttulo"/>
    <w:uiPriority w:val="10"/>
    <w:rsid w:val="005735D2"/>
    <w:rPr>
      <w:rFonts w:asciiTheme="majorHAnsi" w:eastAsiaTheme="majorEastAsia" w:hAnsiTheme="majorHAnsi" w:cstheme="majorBidi"/>
      <w:color w:val="63544A"/>
      <w:spacing w:val="5"/>
      <w:kern w:val="28"/>
      <w:sz w:val="52"/>
      <w:szCs w:val="52"/>
    </w:rPr>
  </w:style>
  <w:style w:type="paragraph" w:styleId="Subttulo">
    <w:name w:val="Subtitle"/>
    <w:basedOn w:val="Normal"/>
    <w:next w:val="Normal"/>
    <w:link w:val="SubttuloCar"/>
    <w:uiPriority w:val="11"/>
    <w:qFormat/>
    <w:rsid w:val="005735D2"/>
    <w:pPr>
      <w:numPr>
        <w:ilvl w:val="1"/>
      </w:numPr>
    </w:pPr>
    <w:rPr>
      <w:rFonts w:asciiTheme="majorHAnsi" w:eastAsiaTheme="majorEastAsia" w:hAnsiTheme="majorHAnsi" w:cstheme="majorBidi"/>
      <w:i/>
      <w:iCs/>
      <w:color w:val="F56600" w:themeColor="text2"/>
      <w:spacing w:val="15"/>
      <w:sz w:val="24"/>
      <w:szCs w:val="24"/>
    </w:rPr>
  </w:style>
  <w:style w:type="character" w:customStyle="1" w:styleId="SubttuloCar">
    <w:name w:val="Subtítulo Car"/>
    <w:basedOn w:val="Fuentedeprrafopredeter"/>
    <w:link w:val="Subttulo"/>
    <w:uiPriority w:val="11"/>
    <w:rsid w:val="005735D2"/>
    <w:rPr>
      <w:rFonts w:asciiTheme="majorHAnsi" w:eastAsiaTheme="majorEastAsia" w:hAnsiTheme="majorHAnsi" w:cstheme="majorBidi"/>
      <w:i/>
      <w:iCs/>
      <w:color w:val="F56600" w:themeColor="text2"/>
      <w:spacing w:val="15"/>
      <w:sz w:val="24"/>
      <w:szCs w:val="24"/>
    </w:rPr>
  </w:style>
  <w:style w:type="character" w:styleId="nfasisintenso">
    <w:name w:val="Intense Emphasis"/>
    <w:basedOn w:val="Fuentedeprrafopredeter"/>
    <w:uiPriority w:val="21"/>
    <w:qFormat/>
    <w:rsid w:val="005735D2"/>
    <w:rPr>
      <w:b/>
      <w:bCs/>
      <w:i/>
      <w:iCs/>
      <w:color w:val="F56600" w:themeColor="text2"/>
    </w:rPr>
  </w:style>
  <w:style w:type="paragraph" w:styleId="Citadestacada">
    <w:name w:val="Intense Quote"/>
    <w:basedOn w:val="Normal"/>
    <w:next w:val="Normal"/>
    <w:link w:val="CitadestacadaCar"/>
    <w:uiPriority w:val="30"/>
    <w:qFormat/>
    <w:rsid w:val="005735D2"/>
    <w:pPr>
      <w:pBdr>
        <w:bottom w:val="single" w:sz="4" w:space="4" w:color="FFFF99" w:themeColor="accent1"/>
      </w:pBdr>
      <w:spacing w:before="200" w:after="280"/>
      <w:ind w:left="936" w:right="936"/>
    </w:pPr>
    <w:rPr>
      <w:b/>
      <w:bCs/>
      <w:i/>
      <w:iCs/>
      <w:color w:val="F56600" w:themeColor="text2"/>
    </w:rPr>
  </w:style>
  <w:style w:type="character" w:customStyle="1" w:styleId="CitadestacadaCar">
    <w:name w:val="Cita destacada Car"/>
    <w:basedOn w:val="Fuentedeprrafopredeter"/>
    <w:link w:val="Citadestacada"/>
    <w:uiPriority w:val="30"/>
    <w:rsid w:val="005735D2"/>
    <w:rPr>
      <w:b/>
      <w:bCs/>
      <w:i/>
      <w:iCs/>
      <w:color w:val="F56600" w:themeColor="text2"/>
    </w:rPr>
  </w:style>
  <w:style w:type="table" w:styleId="Tablaconcuadrcula">
    <w:name w:val="Table Grid"/>
    <w:basedOn w:val="Tablanormal"/>
    <w:uiPriority w:val="59"/>
    <w:rsid w:val="001300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Sombreadoclaro-nfasis5">
    <w:name w:val="Light Shading Accent 5"/>
    <w:basedOn w:val="Tablanormal"/>
    <w:uiPriority w:val="60"/>
    <w:rsid w:val="00130076"/>
    <w:pPr>
      <w:spacing w:after="0" w:line="240" w:lineRule="auto"/>
    </w:pPr>
    <w:rPr>
      <w:color w:val="000000" w:themeColor="accent5" w:themeShade="BF"/>
    </w:rPr>
    <w:tblPr>
      <w:tblStyleRowBandSize w:val="1"/>
      <w:tblStyleColBandSize w:val="1"/>
      <w:tblBorders>
        <w:top w:val="single" w:sz="8" w:space="0" w:color="000000" w:themeColor="accent5"/>
        <w:bottom w:val="single" w:sz="8" w:space="0" w:color="000000" w:themeColor="accent5"/>
      </w:tblBorders>
    </w:tblPr>
    <w:tblStylePr w:type="fir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la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5" w:themeFillTint="3F"/>
      </w:tcPr>
    </w:tblStylePr>
    <w:tblStylePr w:type="band1Horz">
      <w:tblPr/>
      <w:tcPr>
        <w:tcBorders>
          <w:left w:val="nil"/>
          <w:right w:val="nil"/>
          <w:insideH w:val="nil"/>
          <w:insideV w:val="nil"/>
        </w:tcBorders>
        <w:shd w:val="clear" w:color="auto" w:fill="C0C0C0" w:themeFill="accent5" w:themeFillTint="3F"/>
      </w:tcPr>
    </w:tblStylePr>
  </w:style>
  <w:style w:type="table" w:styleId="Listaclara-nfasis2">
    <w:name w:val="Light List Accent 2"/>
    <w:aliases w:val="Bankinter Naranja"/>
    <w:basedOn w:val="Tablanormal"/>
    <w:uiPriority w:val="61"/>
    <w:rsid w:val="00130076"/>
    <w:pPr>
      <w:spacing w:after="0" w:line="240" w:lineRule="auto"/>
    </w:pPr>
    <w:tblPr>
      <w:tblStyleRowBandSize w:val="1"/>
      <w:tblStyleColBandSize w:val="1"/>
      <w:tblBorders>
        <w:top w:val="single" w:sz="8" w:space="0" w:color="F56600" w:themeColor="accent2"/>
        <w:left w:val="single" w:sz="8" w:space="0" w:color="F56600" w:themeColor="accent2"/>
        <w:bottom w:val="single" w:sz="8" w:space="0" w:color="F56600" w:themeColor="accent2"/>
        <w:right w:val="single" w:sz="8" w:space="0" w:color="F56600" w:themeColor="accent2"/>
      </w:tblBorders>
    </w:tblPr>
    <w:tblStylePr w:type="firstRow">
      <w:pPr>
        <w:spacing w:before="0" w:after="0" w:line="240" w:lineRule="auto"/>
      </w:pPr>
      <w:rPr>
        <w:b/>
        <w:bCs/>
        <w:color w:val="FFFFFF" w:themeColor="background1"/>
      </w:rPr>
      <w:tblPr/>
      <w:tcPr>
        <w:shd w:val="clear" w:color="auto" w:fill="F56600" w:themeFill="accent2"/>
      </w:tcPr>
    </w:tblStylePr>
    <w:tblStylePr w:type="lastRow">
      <w:pPr>
        <w:spacing w:before="0" w:after="0" w:line="240" w:lineRule="auto"/>
      </w:pPr>
      <w:rPr>
        <w:b/>
        <w:bCs/>
      </w:rPr>
      <w:tblPr/>
      <w:tcPr>
        <w:tcBorders>
          <w:top w:val="double" w:sz="6" w:space="0" w:color="F56600" w:themeColor="accent2"/>
          <w:left w:val="single" w:sz="8" w:space="0" w:color="F56600" w:themeColor="accent2"/>
          <w:bottom w:val="single" w:sz="8" w:space="0" w:color="F56600" w:themeColor="accent2"/>
          <w:right w:val="single" w:sz="8" w:space="0" w:color="F56600" w:themeColor="accent2"/>
        </w:tcBorders>
      </w:tcPr>
    </w:tblStylePr>
    <w:tblStylePr w:type="firstCol">
      <w:rPr>
        <w:b/>
        <w:bCs/>
      </w:rPr>
    </w:tblStylePr>
    <w:tblStylePr w:type="lastCol">
      <w:rPr>
        <w:b/>
        <w:bCs/>
      </w:rPr>
    </w:tblStylePr>
    <w:tblStylePr w:type="band1Vert">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tblStylePr w:type="band1Horz">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style>
  <w:style w:type="table" w:styleId="Sombreadomedio1-nfasis2">
    <w:name w:val="Medium Shading 1 Accent 2"/>
    <w:aliases w:val="Bankinter Pijama"/>
    <w:basedOn w:val="Tablanormal"/>
    <w:uiPriority w:val="63"/>
    <w:rsid w:val="00130076"/>
    <w:pPr>
      <w:spacing w:after="0" w:line="240" w:lineRule="auto"/>
    </w:pPr>
    <w:tblPr>
      <w:tblStyleRowBandSize w:val="1"/>
      <w:tblStyleColBandSize w:val="1"/>
      <w:tbl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single" w:sz="8" w:space="0" w:color="FF8A38" w:themeColor="accent2" w:themeTint="BF"/>
      </w:tblBorders>
    </w:tblPr>
    <w:tblStylePr w:type="firstRow">
      <w:pPr>
        <w:spacing w:before="0" w:after="0" w:line="240" w:lineRule="auto"/>
      </w:pPr>
      <w:rPr>
        <w:b/>
        <w:bCs/>
        <w:color w:val="FFFFFF" w:themeColor="background1"/>
      </w:rPr>
      <w:tblPr/>
      <w:tcPr>
        <w:tc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shd w:val="clear" w:color="auto" w:fill="F56600" w:themeFill="accent2"/>
      </w:tcPr>
    </w:tblStylePr>
    <w:tblStylePr w:type="lastRow">
      <w:pPr>
        <w:spacing w:before="0" w:after="0" w:line="240" w:lineRule="auto"/>
      </w:pPr>
      <w:rPr>
        <w:b/>
        <w:bCs/>
      </w:rPr>
      <w:tblPr/>
      <w:tcPr>
        <w:tcBorders>
          <w:top w:val="double" w:sz="6"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8BD" w:themeFill="accent2" w:themeFillTint="3F"/>
      </w:tcPr>
    </w:tblStylePr>
    <w:tblStylePr w:type="band1Horz">
      <w:tblPr/>
      <w:tcPr>
        <w:tcBorders>
          <w:insideH w:val="nil"/>
          <w:insideV w:val="nil"/>
        </w:tcBorders>
        <w:shd w:val="clear" w:color="auto" w:fill="FFD8BD" w:themeFill="accent2" w:themeFillTint="3F"/>
      </w:tcPr>
    </w:tblStylePr>
    <w:tblStylePr w:type="band2Horz">
      <w:tblPr/>
      <w:tcPr>
        <w:tcBorders>
          <w:insideH w:val="nil"/>
          <w:insideV w:val="nil"/>
        </w:tcBorders>
      </w:tcPr>
    </w:tblStylePr>
  </w:style>
  <w:style w:type="table" w:styleId="Sombreadomedio2-nfasis2">
    <w:name w:val="Medium Shading 2 Accent 2"/>
    <w:basedOn w:val="Tablanormal"/>
    <w:uiPriority w:val="64"/>
    <w:rsid w:val="00130076"/>
    <w:pPr>
      <w:spacing w:after="0" w:line="240" w:lineRule="auto"/>
    </w:p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6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6600" w:themeFill="accent2"/>
      </w:tcPr>
    </w:tblStylePr>
    <w:tblStylePr w:type="lastCol">
      <w:rPr>
        <w:b/>
        <w:bCs/>
        <w:color w:val="FFFFFF" w:themeColor="background1"/>
      </w:rPr>
      <w:tblPr/>
      <w:tcPr>
        <w:tcBorders>
          <w:left w:val="nil"/>
          <w:right w:val="nil"/>
          <w:insideH w:val="nil"/>
          <w:insideV w:val="nil"/>
        </w:tcBorders>
        <w:shd w:val="clear" w:color="auto" w:fill="F56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cabezado">
    <w:name w:val="header"/>
    <w:basedOn w:val="Normal"/>
    <w:link w:val="EncabezadoCar"/>
    <w:uiPriority w:val="99"/>
    <w:unhideWhenUsed/>
    <w:rsid w:val="00A249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498F"/>
  </w:style>
  <w:style w:type="paragraph" w:styleId="Piedepgina">
    <w:name w:val="footer"/>
    <w:basedOn w:val="Normal"/>
    <w:link w:val="PiedepginaCar"/>
    <w:uiPriority w:val="99"/>
    <w:unhideWhenUsed/>
    <w:rsid w:val="00A249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498F"/>
  </w:style>
  <w:style w:type="paragraph" w:styleId="Textodeglobo">
    <w:name w:val="Balloon Text"/>
    <w:basedOn w:val="Normal"/>
    <w:link w:val="TextodegloboCar"/>
    <w:uiPriority w:val="99"/>
    <w:semiHidden/>
    <w:unhideWhenUsed/>
    <w:rsid w:val="00A249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98F"/>
    <w:rPr>
      <w:rFonts w:ascii="Tahoma" w:hAnsi="Tahoma" w:cs="Tahoma"/>
      <w:sz w:val="16"/>
      <w:szCs w:val="16"/>
    </w:rPr>
  </w:style>
  <w:style w:type="paragraph" w:styleId="Textocomentario">
    <w:name w:val="annotation text"/>
    <w:basedOn w:val="Normal"/>
    <w:link w:val="TextocomentarioCar"/>
    <w:uiPriority w:val="99"/>
    <w:unhideWhenUsed/>
    <w:rsid w:val="00430C42"/>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430C42"/>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C3024B"/>
    <w:pPr>
      <w:spacing w:after="0" w:line="240" w:lineRule="auto"/>
      <w:ind w:left="720"/>
    </w:pPr>
    <w:rPr>
      <w:rFonts w:ascii="Calibri" w:eastAsiaTheme="minorHAnsi" w:hAnsi="Calibri" w:cs="Times New Roman"/>
      <w:lang w:val="es-ES_tradnl" w:eastAsia="es-ES_tradnl"/>
    </w:rPr>
  </w:style>
  <w:style w:type="table" w:customStyle="1" w:styleId="BankinterPijama1">
    <w:name w:val="Bankinter Pijama1"/>
    <w:basedOn w:val="Tablanormal"/>
    <w:next w:val="Sombreadomedio1-nfasis2"/>
    <w:uiPriority w:val="63"/>
    <w:rsid w:val="00DD00EE"/>
    <w:pPr>
      <w:spacing w:after="0" w:line="240" w:lineRule="auto"/>
    </w:pPr>
    <w:rPr>
      <w:rFonts w:eastAsia="Times New Roman"/>
    </w:rPr>
    <w:tblPr>
      <w:tblStyleRowBandSize w:val="1"/>
      <w:tblStyleColBandSize w:val="1"/>
      <w:tblBorders>
        <w:top w:val="single" w:sz="8" w:space="0" w:color="FF8A38"/>
        <w:left w:val="single" w:sz="8" w:space="0" w:color="FF8A38"/>
        <w:bottom w:val="single" w:sz="8" w:space="0" w:color="FF8A38"/>
        <w:right w:val="single" w:sz="8" w:space="0" w:color="FF8A38"/>
        <w:insideH w:val="single" w:sz="8" w:space="0" w:color="FF8A38"/>
      </w:tblBorders>
    </w:tblPr>
    <w:tblStylePr w:type="firstRow">
      <w:pPr>
        <w:spacing w:before="0" w:after="0" w:line="240" w:lineRule="auto"/>
      </w:pPr>
      <w:rPr>
        <w:b/>
        <w:bCs/>
        <w:color w:val="FFFFFF"/>
      </w:rPr>
      <w:tblPr/>
      <w:tcPr>
        <w:tcBorders>
          <w:top w:val="single" w:sz="8" w:space="0" w:color="FF8A38"/>
          <w:left w:val="single" w:sz="8" w:space="0" w:color="FF8A38"/>
          <w:bottom w:val="single" w:sz="8" w:space="0" w:color="FF8A38"/>
          <w:right w:val="single" w:sz="8" w:space="0" w:color="FF8A38"/>
          <w:insideH w:val="nil"/>
          <w:insideV w:val="nil"/>
        </w:tcBorders>
        <w:shd w:val="clear" w:color="auto" w:fill="F56600"/>
      </w:tcPr>
    </w:tblStylePr>
    <w:tblStylePr w:type="lastRow">
      <w:pPr>
        <w:spacing w:before="0" w:after="0" w:line="240" w:lineRule="auto"/>
      </w:pPr>
      <w:rPr>
        <w:b/>
        <w:bCs/>
      </w:rPr>
      <w:tblPr/>
      <w:tcPr>
        <w:tcBorders>
          <w:top w:val="double" w:sz="6" w:space="0" w:color="FF8A38"/>
          <w:left w:val="single" w:sz="8" w:space="0" w:color="FF8A38"/>
          <w:bottom w:val="single" w:sz="8" w:space="0" w:color="FF8A38"/>
          <w:right w:val="single" w:sz="8" w:space="0" w:color="FF8A38"/>
          <w:insideH w:val="nil"/>
          <w:insideV w:val="nil"/>
        </w:tcBorders>
      </w:tcPr>
    </w:tblStylePr>
    <w:tblStylePr w:type="firstCol">
      <w:rPr>
        <w:b/>
        <w:bCs/>
      </w:rPr>
    </w:tblStylePr>
    <w:tblStylePr w:type="lastCol">
      <w:rPr>
        <w:b/>
        <w:bCs/>
      </w:rPr>
    </w:tblStylePr>
    <w:tblStylePr w:type="band1Vert">
      <w:tblPr/>
      <w:tcPr>
        <w:shd w:val="clear" w:color="auto" w:fill="FFD8BD"/>
      </w:tcPr>
    </w:tblStylePr>
    <w:tblStylePr w:type="band1Horz">
      <w:tblPr/>
      <w:tcPr>
        <w:tcBorders>
          <w:insideH w:val="nil"/>
          <w:insideV w:val="nil"/>
        </w:tcBorders>
        <w:shd w:val="clear" w:color="auto" w:fill="FFD8BD"/>
      </w:tcPr>
    </w:tblStylePr>
    <w:tblStylePr w:type="band2Horz">
      <w:tblPr/>
      <w:tcPr>
        <w:tcBorders>
          <w:insideH w:val="nil"/>
          <w:insideV w:val="nil"/>
        </w:tcBorders>
      </w:tcPr>
    </w:tblStylePr>
  </w:style>
  <w:style w:type="character" w:styleId="Refdecomentario">
    <w:name w:val="annotation reference"/>
    <w:basedOn w:val="Fuentedeprrafopredeter"/>
    <w:uiPriority w:val="99"/>
    <w:semiHidden/>
    <w:unhideWhenUsed/>
    <w:rsid w:val="00D05718"/>
    <w:rPr>
      <w:sz w:val="16"/>
      <w:szCs w:val="16"/>
    </w:rPr>
  </w:style>
  <w:style w:type="paragraph" w:styleId="Asuntodelcomentario">
    <w:name w:val="annotation subject"/>
    <w:basedOn w:val="Textocomentario"/>
    <w:next w:val="Textocomentario"/>
    <w:link w:val="AsuntodelcomentarioCar"/>
    <w:uiPriority w:val="99"/>
    <w:semiHidden/>
    <w:unhideWhenUsed/>
    <w:rsid w:val="00D05718"/>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D05718"/>
    <w:rPr>
      <w:rFonts w:ascii="Times New Roman" w:eastAsia="Times New Roman" w:hAnsi="Times New Roman" w:cs="Times New Roman"/>
      <w:b/>
      <w:bCs/>
      <w:sz w:val="20"/>
      <w:szCs w:val="20"/>
      <w:lang w:eastAsia="es-ES"/>
    </w:rPr>
  </w:style>
  <w:style w:type="paragraph" w:styleId="NormalWeb">
    <w:name w:val="Normal (Web)"/>
    <w:basedOn w:val="Normal"/>
    <w:uiPriority w:val="99"/>
    <w:semiHidden/>
    <w:unhideWhenUsed/>
    <w:rsid w:val="00B44B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9705">
      <w:bodyDiv w:val="1"/>
      <w:marLeft w:val="0"/>
      <w:marRight w:val="0"/>
      <w:marTop w:val="0"/>
      <w:marBottom w:val="0"/>
      <w:divBdr>
        <w:top w:val="none" w:sz="0" w:space="0" w:color="auto"/>
        <w:left w:val="none" w:sz="0" w:space="0" w:color="auto"/>
        <w:bottom w:val="none" w:sz="0" w:space="0" w:color="auto"/>
        <w:right w:val="none" w:sz="0" w:space="0" w:color="auto"/>
      </w:divBdr>
    </w:div>
    <w:div w:id="206795099">
      <w:bodyDiv w:val="1"/>
      <w:marLeft w:val="0"/>
      <w:marRight w:val="0"/>
      <w:marTop w:val="0"/>
      <w:marBottom w:val="0"/>
      <w:divBdr>
        <w:top w:val="none" w:sz="0" w:space="0" w:color="auto"/>
        <w:left w:val="none" w:sz="0" w:space="0" w:color="auto"/>
        <w:bottom w:val="none" w:sz="0" w:space="0" w:color="auto"/>
        <w:right w:val="none" w:sz="0" w:space="0" w:color="auto"/>
      </w:divBdr>
    </w:div>
    <w:div w:id="214238020">
      <w:bodyDiv w:val="1"/>
      <w:marLeft w:val="0"/>
      <w:marRight w:val="0"/>
      <w:marTop w:val="0"/>
      <w:marBottom w:val="0"/>
      <w:divBdr>
        <w:top w:val="none" w:sz="0" w:space="0" w:color="auto"/>
        <w:left w:val="none" w:sz="0" w:space="0" w:color="auto"/>
        <w:bottom w:val="none" w:sz="0" w:space="0" w:color="auto"/>
        <w:right w:val="none" w:sz="0" w:space="0" w:color="auto"/>
      </w:divBdr>
    </w:div>
    <w:div w:id="427847061">
      <w:bodyDiv w:val="1"/>
      <w:marLeft w:val="0"/>
      <w:marRight w:val="0"/>
      <w:marTop w:val="0"/>
      <w:marBottom w:val="0"/>
      <w:divBdr>
        <w:top w:val="none" w:sz="0" w:space="0" w:color="auto"/>
        <w:left w:val="none" w:sz="0" w:space="0" w:color="auto"/>
        <w:bottom w:val="none" w:sz="0" w:space="0" w:color="auto"/>
        <w:right w:val="none" w:sz="0" w:space="0" w:color="auto"/>
      </w:divBdr>
    </w:div>
    <w:div w:id="523321463">
      <w:bodyDiv w:val="1"/>
      <w:marLeft w:val="0"/>
      <w:marRight w:val="0"/>
      <w:marTop w:val="0"/>
      <w:marBottom w:val="0"/>
      <w:divBdr>
        <w:top w:val="none" w:sz="0" w:space="0" w:color="auto"/>
        <w:left w:val="none" w:sz="0" w:space="0" w:color="auto"/>
        <w:bottom w:val="none" w:sz="0" w:space="0" w:color="auto"/>
        <w:right w:val="none" w:sz="0" w:space="0" w:color="auto"/>
      </w:divBdr>
    </w:div>
    <w:div w:id="816730755">
      <w:bodyDiv w:val="1"/>
      <w:marLeft w:val="0"/>
      <w:marRight w:val="0"/>
      <w:marTop w:val="0"/>
      <w:marBottom w:val="0"/>
      <w:divBdr>
        <w:top w:val="none" w:sz="0" w:space="0" w:color="auto"/>
        <w:left w:val="none" w:sz="0" w:space="0" w:color="auto"/>
        <w:bottom w:val="none" w:sz="0" w:space="0" w:color="auto"/>
        <w:right w:val="none" w:sz="0" w:space="0" w:color="auto"/>
      </w:divBdr>
    </w:div>
    <w:div w:id="832912892">
      <w:bodyDiv w:val="1"/>
      <w:marLeft w:val="0"/>
      <w:marRight w:val="0"/>
      <w:marTop w:val="0"/>
      <w:marBottom w:val="0"/>
      <w:divBdr>
        <w:top w:val="none" w:sz="0" w:space="0" w:color="auto"/>
        <w:left w:val="none" w:sz="0" w:space="0" w:color="auto"/>
        <w:bottom w:val="none" w:sz="0" w:space="0" w:color="auto"/>
        <w:right w:val="none" w:sz="0" w:space="0" w:color="auto"/>
      </w:divBdr>
    </w:div>
    <w:div w:id="1019967517">
      <w:bodyDiv w:val="1"/>
      <w:marLeft w:val="0"/>
      <w:marRight w:val="0"/>
      <w:marTop w:val="0"/>
      <w:marBottom w:val="0"/>
      <w:divBdr>
        <w:top w:val="none" w:sz="0" w:space="0" w:color="auto"/>
        <w:left w:val="none" w:sz="0" w:space="0" w:color="auto"/>
        <w:bottom w:val="none" w:sz="0" w:space="0" w:color="auto"/>
        <w:right w:val="none" w:sz="0" w:space="0" w:color="auto"/>
      </w:divBdr>
    </w:div>
    <w:div w:id="1137184055">
      <w:bodyDiv w:val="1"/>
      <w:marLeft w:val="0"/>
      <w:marRight w:val="0"/>
      <w:marTop w:val="0"/>
      <w:marBottom w:val="0"/>
      <w:divBdr>
        <w:top w:val="none" w:sz="0" w:space="0" w:color="auto"/>
        <w:left w:val="none" w:sz="0" w:space="0" w:color="auto"/>
        <w:bottom w:val="none" w:sz="0" w:space="0" w:color="auto"/>
        <w:right w:val="none" w:sz="0" w:space="0" w:color="auto"/>
      </w:divBdr>
    </w:div>
    <w:div w:id="1202135671">
      <w:bodyDiv w:val="1"/>
      <w:marLeft w:val="0"/>
      <w:marRight w:val="0"/>
      <w:marTop w:val="0"/>
      <w:marBottom w:val="0"/>
      <w:divBdr>
        <w:top w:val="none" w:sz="0" w:space="0" w:color="auto"/>
        <w:left w:val="none" w:sz="0" w:space="0" w:color="auto"/>
        <w:bottom w:val="none" w:sz="0" w:space="0" w:color="auto"/>
        <w:right w:val="none" w:sz="0" w:space="0" w:color="auto"/>
      </w:divBdr>
    </w:div>
    <w:div w:id="1211192585">
      <w:bodyDiv w:val="1"/>
      <w:marLeft w:val="0"/>
      <w:marRight w:val="0"/>
      <w:marTop w:val="0"/>
      <w:marBottom w:val="0"/>
      <w:divBdr>
        <w:top w:val="none" w:sz="0" w:space="0" w:color="auto"/>
        <w:left w:val="none" w:sz="0" w:space="0" w:color="auto"/>
        <w:bottom w:val="none" w:sz="0" w:space="0" w:color="auto"/>
        <w:right w:val="none" w:sz="0" w:space="0" w:color="auto"/>
      </w:divBdr>
    </w:div>
    <w:div w:id="1407726429">
      <w:bodyDiv w:val="1"/>
      <w:marLeft w:val="0"/>
      <w:marRight w:val="0"/>
      <w:marTop w:val="0"/>
      <w:marBottom w:val="0"/>
      <w:divBdr>
        <w:top w:val="none" w:sz="0" w:space="0" w:color="auto"/>
        <w:left w:val="none" w:sz="0" w:space="0" w:color="auto"/>
        <w:bottom w:val="none" w:sz="0" w:space="0" w:color="auto"/>
        <w:right w:val="none" w:sz="0" w:space="0" w:color="auto"/>
      </w:divBdr>
    </w:div>
    <w:div w:id="1669792656">
      <w:bodyDiv w:val="1"/>
      <w:marLeft w:val="0"/>
      <w:marRight w:val="0"/>
      <w:marTop w:val="0"/>
      <w:marBottom w:val="0"/>
      <w:divBdr>
        <w:top w:val="none" w:sz="0" w:space="0" w:color="auto"/>
        <w:left w:val="none" w:sz="0" w:space="0" w:color="auto"/>
        <w:bottom w:val="none" w:sz="0" w:space="0" w:color="auto"/>
        <w:right w:val="none" w:sz="0" w:space="0" w:color="auto"/>
      </w:divBdr>
    </w:div>
    <w:div w:id="1708752031">
      <w:bodyDiv w:val="1"/>
      <w:marLeft w:val="0"/>
      <w:marRight w:val="0"/>
      <w:marTop w:val="0"/>
      <w:marBottom w:val="0"/>
      <w:divBdr>
        <w:top w:val="none" w:sz="0" w:space="0" w:color="auto"/>
        <w:left w:val="none" w:sz="0" w:space="0" w:color="auto"/>
        <w:bottom w:val="none" w:sz="0" w:space="0" w:color="auto"/>
        <w:right w:val="none" w:sz="0" w:space="0" w:color="auto"/>
      </w:divBdr>
      <w:divsChild>
        <w:div w:id="24527939">
          <w:marLeft w:val="1166"/>
          <w:marRight w:val="0"/>
          <w:marTop w:val="60"/>
          <w:marBottom w:val="0"/>
          <w:divBdr>
            <w:top w:val="none" w:sz="0" w:space="0" w:color="auto"/>
            <w:left w:val="none" w:sz="0" w:space="0" w:color="auto"/>
            <w:bottom w:val="none" w:sz="0" w:space="0" w:color="auto"/>
            <w:right w:val="none" w:sz="0" w:space="0" w:color="auto"/>
          </w:divBdr>
        </w:div>
        <w:div w:id="510417202">
          <w:marLeft w:val="1166"/>
          <w:marRight w:val="0"/>
          <w:marTop w:val="60"/>
          <w:marBottom w:val="0"/>
          <w:divBdr>
            <w:top w:val="none" w:sz="0" w:space="0" w:color="auto"/>
            <w:left w:val="none" w:sz="0" w:space="0" w:color="auto"/>
            <w:bottom w:val="none" w:sz="0" w:space="0" w:color="auto"/>
            <w:right w:val="none" w:sz="0" w:space="0" w:color="auto"/>
          </w:divBdr>
        </w:div>
      </w:divsChild>
    </w:div>
    <w:div w:id="1735546335">
      <w:bodyDiv w:val="1"/>
      <w:marLeft w:val="0"/>
      <w:marRight w:val="0"/>
      <w:marTop w:val="0"/>
      <w:marBottom w:val="0"/>
      <w:divBdr>
        <w:top w:val="none" w:sz="0" w:space="0" w:color="auto"/>
        <w:left w:val="none" w:sz="0" w:space="0" w:color="auto"/>
        <w:bottom w:val="none" w:sz="0" w:space="0" w:color="auto"/>
        <w:right w:val="none" w:sz="0" w:space="0" w:color="auto"/>
      </w:divBdr>
    </w:div>
    <w:div w:id="1771120448">
      <w:bodyDiv w:val="1"/>
      <w:marLeft w:val="0"/>
      <w:marRight w:val="0"/>
      <w:marTop w:val="0"/>
      <w:marBottom w:val="0"/>
      <w:divBdr>
        <w:top w:val="none" w:sz="0" w:space="0" w:color="auto"/>
        <w:left w:val="none" w:sz="0" w:space="0" w:color="auto"/>
        <w:bottom w:val="none" w:sz="0" w:space="0" w:color="auto"/>
        <w:right w:val="none" w:sz="0" w:space="0" w:color="auto"/>
      </w:divBdr>
    </w:div>
    <w:div w:id="1841694613">
      <w:bodyDiv w:val="1"/>
      <w:marLeft w:val="0"/>
      <w:marRight w:val="0"/>
      <w:marTop w:val="0"/>
      <w:marBottom w:val="0"/>
      <w:divBdr>
        <w:top w:val="none" w:sz="0" w:space="0" w:color="auto"/>
        <w:left w:val="none" w:sz="0" w:space="0" w:color="auto"/>
        <w:bottom w:val="none" w:sz="0" w:space="0" w:color="auto"/>
        <w:right w:val="none" w:sz="0" w:space="0" w:color="auto"/>
      </w:divBdr>
    </w:div>
    <w:div w:id="2010012286">
      <w:bodyDiv w:val="1"/>
      <w:marLeft w:val="0"/>
      <w:marRight w:val="0"/>
      <w:marTop w:val="0"/>
      <w:marBottom w:val="0"/>
      <w:divBdr>
        <w:top w:val="none" w:sz="0" w:space="0" w:color="auto"/>
        <w:left w:val="none" w:sz="0" w:space="0" w:color="auto"/>
        <w:bottom w:val="none" w:sz="0" w:space="0" w:color="auto"/>
        <w:right w:val="none" w:sz="0" w:space="0" w:color="auto"/>
      </w:divBdr>
    </w:div>
    <w:div w:id="2011059897">
      <w:bodyDiv w:val="1"/>
      <w:marLeft w:val="0"/>
      <w:marRight w:val="0"/>
      <w:marTop w:val="0"/>
      <w:marBottom w:val="0"/>
      <w:divBdr>
        <w:top w:val="none" w:sz="0" w:space="0" w:color="auto"/>
        <w:left w:val="none" w:sz="0" w:space="0" w:color="auto"/>
        <w:bottom w:val="none" w:sz="0" w:space="0" w:color="auto"/>
        <w:right w:val="none" w:sz="0" w:space="0" w:color="auto"/>
      </w:divBdr>
    </w:div>
    <w:div w:id="214167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ankinter">
  <a:themeElements>
    <a:clrScheme name="Bankinter">
      <a:dk1>
        <a:srgbClr val="000000"/>
      </a:dk1>
      <a:lt1>
        <a:srgbClr val="FFFFFF"/>
      </a:lt1>
      <a:dk2>
        <a:srgbClr val="F56600"/>
      </a:dk2>
      <a:lt2>
        <a:srgbClr val="B5D9DE"/>
      </a:lt2>
      <a:accent1>
        <a:srgbClr val="FFFF99"/>
      </a:accent1>
      <a:accent2>
        <a:srgbClr val="F56600"/>
      </a:accent2>
      <a:accent3>
        <a:srgbClr val="FFFFFF"/>
      </a:accent3>
      <a:accent4>
        <a:srgbClr val="B5D9DE"/>
      </a:accent4>
      <a:accent5>
        <a:srgbClr val="000000"/>
      </a:accent5>
      <a:accent6>
        <a:srgbClr val="D2E8EB"/>
      </a:accent6>
      <a:hlink>
        <a:srgbClr val="F56600"/>
      </a:hlink>
      <a:folHlink>
        <a:srgbClr val="63544A"/>
      </a:folHlink>
    </a:clrScheme>
    <a:fontScheme name="Bankinter">
      <a:majorFont>
        <a:latin typeface="Bankinter"/>
        <a:ea typeface=""/>
        <a:cs typeface=""/>
      </a:majorFont>
      <a:minorFont>
        <a:latin typeface="Bankinter"/>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1525</Words>
  <Characters>8388</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Marca</vt:lpstr>
      <vt:lpstr>Marca</vt:lpstr>
    </vt:vector>
  </TitlesOfParts>
  <Company>Bankinter</Company>
  <LinksUpToDate>false</LinksUpToDate>
  <CharactersWithSpaces>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dc:title>
  <dc:creator>Bankinter</dc:creator>
  <cp:lastModifiedBy>Ana Ramirez Cogollor</cp:lastModifiedBy>
  <cp:revision>2</cp:revision>
  <cp:lastPrinted>2019-04-24T14:02:00Z</cp:lastPrinted>
  <dcterms:created xsi:type="dcterms:W3CDTF">2019-04-25T06:02:00Z</dcterms:created>
  <dcterms:modified xsi:type="dcterms:W3CDTF">2019-04-25T06:02:00Z</dcterms:modified>
</cp:coreProperties>
</file>