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C7E86" w14:textId="77777777" w:rsidR="003C3452" w:rsidRDefault="003C3452" w:rsidP="003C3452">
      <w:pPr>
        <w:ind w:firstLine="708"/>
        <w:jc w:val="center"/>
        <w:rPr>
          <w:rFonts w:ascii="Arial" w:hAnsi="Arial" w:cs="Arial"/>
          <w:b/>
        </w:rPr>
      </w:pPr>
      <w:r w:rsidRPr="00463E9C">
        <w:rPr>
          <w:rFonts w:ascii="Arial" w:hAnsi="Arial" w:cs="Arial"/>
          <w:b/>
        </w:rPr>
        <w:t>ADVEO GROUP INTERNATIONAL, S.A. Y SOCIEDADES DEPENDIENTES</w:t>
      </w:r>
    </w:p>
    <w:p w14:paraId="0DCEAD2E" w14:textId="77777777" w:rsidR="003C3452" w:rsidRDefault="003C3452" w:rsidP="003C3452">
      <w:pPr>
        <w:jc w:val="center"/>
        <w:rPr>
          <w:rFonts w:ascii="Arial" w:hAnsi="Arial" w:cs="Arial"/>
          <w:b/>
        </w:rPr>
      </w:pPr>
      <w:r>
        <w:rPr>
          <w:rFonts w:ascii="Arial" w:hAnsi="Arial" w:cs="Arial"/>
          <w:b/>
        </w:rPr>
        <w:t>V. NOTAS EXPLICATIVAS A LOS ESTADOS FINANCIEROS CONSOLIDADOS INTERMEDIOS DEL PRIMER SEMESTRE DEL EJERCICIO 2018</w:t>
      </w:r>
    </w:p>
    <w:p w14:paraId="4CD670A9" w14:textId="77777777" w:rsidR="003C3452" w:rsidRDefault="003C3452" w:rsidP="003C3452">
      <w:pPr>
        <w:jc w:val="both"/>
        <w:rPr>
          <w:rFonts w:ascii="Arial" w:hAnsi="Arial" w:cs="Arial"/>
          <w:b/>
        </w:rPr>
      </w:pPr>
    </w:p>
    <w:p w14:paraId="59ACF103" w14:textId="77777777" w:rsidR="003C3452" w:rsidRPr="00463E9C" w:rsidRDefault="003C3452" w:rsidP="003C3452">
      <w:pPr>
        <w:spacing w:after="0" w:line="240" w:lineRule="auto"/>
        <w:jc w:val="both"/>
        <w:rPr>
          <w:rFonts w:ascii="Arial" w:eastAsia="Times New Roman" w:hAnsi="Arial" w:cs="Arial"/>
          <w:b/>
          <w:color w:val="000000"/>
          <w:sz w:val="18"/>
          <w:szCs w:val="18"/>
          <w:lang w:eastAsia="es-ES"/>
        </w:rPr>
      </w:pPr>
      <w:r w:rsidRPr="00463E9C">
        <w:rPr>
          <w:rFonts w:ascii="Arial" w:eastAsia="Times New Roman" w:hAnsi="Arial" w:cs="Arial"/>
          <w:b/>
          <w:color w:val="000000"/>
          <w:sz w:val="18"/>
          <w:szCs w:val="18"/>
          <w:lang w:eastAsia="es-ES"/>
        </w:rPr>
        <w:t>1.- Criterios contables</w:t>
      </w:r>
    </w:p>
    <w:p w14:paraId="5AA6F653" w14:textId="77777777" w:rsidR="003C3452" w:rsidRPr="00463E9C" w:rsidRDefault="003C3452" w:rsidP="003C3452">
      <w:pPr>
        <w:spacing w:after="0" w:line="240" w:lineRule="auto"/>
        <w:jc w:val="both"/>
        <w:rPr>
          <w:rFonts w:ascii="Arial" w:eastAsia="Times New Roman" w:hAnsi="Arial" w:cs="Arial"/>
          <w:b/>
          <w:color w:val="000000"/>
          <w:sz w:val="18"/>
          <w:szCs w:val="18"/>
          <w:lang w:eastAsia="es-ES"/>
        </w:rPr>
      </w:pPr>
    </w:p>
    <w:p w14:paraId="5244C01E" w14:textId="77777777" w:rsidR="003C3452" w:rsidRPr="00463E9C" w:rsidRDefault="003C3452" w:rsidP="003C3452">
      <w:pPr>
        <w:spacing w:after="0" w:line="240" w:lineRule="auto"/>
        <w:ind w:left="426"/>
        <w:jc w:val="both"/>
        <w:rPr>
          <w:rFonts w:ascii="Arial" w:eastAsia="Times New Roman" w:hAnsi="Arial" w:cs="Arial"/>
          <w:b/>
          <w:color w:val="000000"/>
          <w:sz w:val="18"/>
          <w:szCs w:val="18"/>
          <w:u w:val="single"/>
          <w:lang w:eastAsia="es-ES"/>
        </w:rPr>
      </w:pPr>
      <w:r w:rsidRPr="00463E9C">
        <w:rPr>
          <w:rFonts w:ascii="Arial" w:eastAsia="Times New Roman" w:hAnsi="Arial" w:cs="Arial"/>
          <w:b/>
          <w:color w:val="000000"/>
          <w:sz w:val="18"/>
          <w:szCs w:val="18"/>
          <w:u w:val="single"/>
          <w:lang w:eastAsia="es-ES"/>
        </w:rPr>
        <w:t>A.- Estados financieros individuales intermedios</w:t>
      </w:r>
    </w:p>
    <w:p w14:paraId="328B234E" w14:textId="77777777" w:rsidR="003C3452" w:rsidRPr="00463E9C" w:rsidRDefault="003C3452" w:rsidP="003C3452">
      <w:pPr>
        <w:spacing w:after="0" w:line="240" w:lineRule="auto"/>
        <w:ind w:left="426"/>
        <w:jc w:val="both"/>
        <w:rPr>
          <w:rFonts w:ascii="Arial" w:eastAsia="Times New Roman" w:hAnsi="Arial" w:cs="Arial"/>
          <w:b/>
          <w:color w:val="000000"/>
          <w:sz w:val="18"/>
          <w:szCs w:val="18"/>
          <w:u w:val="single"/>
          <w:lang w:eastAsia="es-ES"/>
        </w:rPr>
      </w:pPr>
    </w:p>
    <w:p w14:paraId="1ED62A19" w14:textId="77777777" w:rsidR="003C3452" w:rsidRPr="00463E9C" w:rsidRDefault="003C3452" w:rsidP="003C3452">
      <w:pPr>
        <w:spacing w:after="0" w:line="240" w:lineRule="auto"/>
        <w:ind w:left="426"/>
        <w:jc w:val="both"/>
        <w:rPr>
          <w:rFonts w:ascii="Arial" w:eastAsia="Times New Roman" w:hAnsi="Arial" w:cs="Arial"/>
          <w:sz w:val="18"/>
          <w:szCs w:val="18"/>
          <w:lang w:eastAsia="es-ES"/>
        </w:rPr>
      </w:pPr>
      <w:r w:rsidRPr="00463E9C">
        <w:rPr>
          <w:rFonts w:ascii="Arial" w:eastAsia="Times New Roman" w:hAnsi="Arial" w:cs="Arial"/>
          <w:sz w:val="18"/>
          <w:szCs w:val="18"/>
          <w:lang w:eastAsia="es-ES"/>
        </w:rPr>
        <w:t>Los criterios contables empleados en la elaboración de los Estados Financieros Individuales son los contemplados en el Plan General de Contabilidad en vigor (NPGC), aprobado mediante el Real Decreto 1514/2007, de 16 de noviembre, el cual entró en vigor el 1 de enero de 2008.</w:t>
      </w:r>
    </w:p>
    <w:p w14:paraId="1919D4DB" w14:textId="77777777" w:rsidR="003C3452" w:rsidRPr="00463E9C" w:rsidRDefault="003C3452" w:rsidP="003C3452">
      <w:pPr>
        <w:spacing w:after="0" w:line="240" w:lineRule="auto"/>
        <w:jc w:val="both"/>
        <w:rPr>
          <w:rFonts w:ascii="Arial" w:eastAsia="Times New Roman" w:hAnsi="Arial" w:cs="Arial"/>
          <w:b/>
          <w:color w:val="000000"/>
          <w:sz w:val="18"/>
          <w:szCs w:val="18"/>
          <w:lang w:eastAsia="es-ES"/>
        </w:rPr>
      </w:pPr>
    </w:p>
    <w:p w14:paraId="0F078BE3" w14:textId="77777777" w:rsidR="003C3452" w:rsidRPr="00463E9C" w:rsidRDefault="003C3452" w:rsidP="003C3452">
      <w:pPr>
        <w:spacing w:after="0" w:line="240" w:lineRule="auto"/>
        <w:jc w:val="both"/>
        <w:rPr>
          <w:rFonts w:ascii="Arial" w:eastAsia="Times New Roman" w:hAnsi="Arial" w:cs="Arial"/>
          <w:b/>
          <w:color w:val="000000"/>
          <w:sz w:val="18"/>
          <w:szCs w:val="18"/>
          <w:lang w:eastAsia="es-ES"/>
        </w:rPr>
      </w:pPr>
    </w:p>
    <w:p w14:paraId="2F8E2B07" w14:textId="77777777" w:rsidR="003C3452" w:rsidRPr="00463E9C" w:rsidRDefault="003C3452" w:rsidP="003C3452">
      <w:pPr>
        <w:spacing w:after="0" w:line="240" w:lineRule="auto"/>
        <w:ind w:left="426"/>
        <w:jc w:val="both"/>
        <w:rPr>
          <w:rFonts w:ascii="Arial" w:eastAsia="Times New Roman" w:hAnsi="Arial" w:cs="Arial"/>
          <w:b/>
          <w:sz w:val="18"/>
          <w:szCs w:val="18"/>
          <w:u w:val="single"/>
          <w:lang w:eastAsia="es-ES"/>
        </w:rPr>
      </w:pPr>
      <w:r w:rsidRPr="00463E9C">
        <w:rPr>
          <w:rFonts w:ascii="Arial" w:eastAsia="Times New Roman" w:hAnsi="Arial" w:cs="Arial"/>
          <w:b/>
          <w:sz w:val="18"/>
          <w:szCs w:val="18"/>
          <w:u w:val="single"/>
          <w:lang w:eastAsia="es-ES"/>
        </w:rPr>
        <w:t>B.- Estados financieros consolidados intermedios</w:t>
      </w:r>
    </w:p>
    <w:p w14:paraId="7C1581C8" w14:textId="77777777" w:rsidR="003C3452" w:rsidRPr="00463E9C" w:rsidRDefault="003C3452" w:rsidP="003C3452">
      <w:pPr>
        <w:spacing w:after="0" w:line="240" w:lineRule="auto"/>
        <w:jc w:val="both"/>
        <w:rPr>
          <w:rFonts w:ascii="Arial" w:eastAsia="Times New Roman" w:hAnsi="Arial" w:cs="Arial"/>
          <w:b/>
          <w:color w:val="000000"/>
          <w:sz w:val="18"/>
          <w:szCs w:val="18"/>
          <w:lang w:eastAsia="es-ES"/>
        </w:rPr>
      </w:pPr>
    </w:p>
    <w:p w14:paraId="6020D87B" w14:textId="77777777" w:rsidR="003C3452" w:rsidRPr="00463E9C" w:rsidRDefault="003C3452" w:rsidP="003C3452">
      <w:pPr>
        <w:spacing w:after="0" w:line="240" w:lineRule="auto"/>
        <w:ind w:left="426"/>
        <w:jc w:val="both"/>
        <w:rPr>
          <w:rFonts w:ascii="Arial" w:eastAsia="Times New Roman" w:hAnsi="Arial" w:cs="Arial"/>
          <w:sz w:val="18"/>
          <w:szCs w:val="18"/>
          <w:lang w:eastAsia="es-ES"/>
        </w:rPr>
      </w:pPr>
      <w:r w:rsidRPr="00463E9C">
        <w:rPr>
          <w:rFonts w:ascii="Arial" w:eastAsia="Times New Roman" w:hAnsi="Arial" w:cs="Arial"/>
          <w:sz w:val="18"/>
          <w:szCs w:val="18"/>
          <w:lang w:eastAsia="es-ES"/>
        </w:rPr>
        <w:t>Los criterios contables utilizados en la elaboración de los Estados Financieros Consolidados son los contemplados en las Normas Internacionales de Información Financiera (NIIF) adoptadas, hasta la fecha, por la Unión Europea, habiéndose aplicado de manera uniforme con respecto al ejercicio anual finalizado el 31 de diciembre de 201</w:t>
      </w:r>
      <w:r>
        <w:rPr>
          <w:rFonts w:ascii="Arial" w:eastAsia="Times New Roman" w:hAnsi="Arial" w:cs="Arial"/>
          <w:sz w:val="18"/>
          <w:szCs w:val="18"/>
          <w:lang w:eastAsia="es-ES"/>
        </w:rPr>
        <w:t>7</w:t>
      </w:r>
      <w:r w:rsidRPr="00463E9C">
        <w:rPr>
          <w:rFonts w:ascii="Arial" w:eastAsia="Times New Roman" w:hAnsi="Arial" w:cs="Arial"/>
          <w:sz w:val="18"/>
          <w:szCs w:val="18"/>
          <w:lang w:eastAsia="es-ES"/>
        </w:rPr>
        <w:t>.</w:t>
      </w:r>
    </w:p>
    <w:p w14:paraId="671DC637" w14:textId="77777777" w:rsidR="003C3452" w:rsidRDefault="003C3452" w:rsidP="003C3452">
      <w:pPr>
        <w:jc w:val="both"/>
        <w:rPr>
          <w:rFonts w:ascii="Arial" w:hAnsi="Arial" w:cs="Arial"/>
          <w:b/>
        </w:rPr>
      </w:pPr>
    </w:p>
    <w:p w14:paraId="7C4A1C85" w14:textId="77777777" w:rsidR="003C3452" w:rsidRDefault="003C3452" w:rsidP="003C3452">
      <w:pPr>
        <w:spacing w:after="0" w:line="240" w:lineRule="auto"/>
        <w:jc w:val="both"/>
        <w:rPr>
          <w:rFonts w:ascii="Arial" w:eastAsia="Times New Roman" w:hAnsi="Arial" w:cs="Arial"/>
          <w:b/>
          <w:color w:val="000000"/>
          <w:sz w:val="18"/>
          <w:szCs w:val="18"/>
          <w:lang w:eastAsia="es-ES"/>
        </w:rPr>
      </w:pPr>
      <w:r>
        <w:rPr>
          <w:rFonts w:ascii="Arial" w:eastAsia="Times New Roman" w:hAnsi="Arial" w:cs="Arial"/>
          <w:b/>
          <w:color w:val="000000"/>
          <w:sz w:val="18"/>
          <w:szCs w:val="18"/>
          <w:lang w:eastAsia="es-ES"/>
        </w:rPr>
        <w:t>2</w:t>
      </w:r>
      <w:r w:rsidRPr="00463E9C">
        <w:rPr>
          <w:rFonts w:ascii="Arial" w:eastAsia="Times New Roman" w:hAnsi="Arial" w:cs="Arial"/>
          <w:b/>
          <w:color w:val="000000"/>
          <w:sz w:val="18"/>
          <w:szCs w:val="18"/>
          <w:lang w:eastAsia="es-ES"/>
        </w:rPr>
        <w:t>.- Estimaciones y juicios contables</w:t>
      </w:r>
    </w:p>
    <w:p w14:paraId="423513C6" w14:textId="77777777" w:rsidR="003C3452" w:rsidRPr="00463E9C" w:rsidRDefault="003C3452" w:rsidP="003C3452">
      <w:pPr>
        <w:spacing w:after="0" w:line="240" w:lineRule="auto"/>
        <w:jc w:val="both"/>
        <w:rPr>
          <w:rFonts w:ascii="Arial" w:eastAsia="Times New Roman" w:hAnsi="Arial" w:cs="Arial"/>
          <w:b/>
          <w:color w:val="000000"/>
          <w:sz w:val="18"/>
          <w:szCs w:val="18"/>
          <w:lang w:eastAsia="es-ES"/>
        </w:rPr>
      </w:pPr>
    </w:p>
    <w:p w14:paraId="09447DB5" w14:textId="77777777" w:rsidR="003C3452" w:rsidRPr="00463E9C" w:rsidRDefault="003C3452" w:rsidP="003C3452">
      <w:pPr>
        <w:autoSpaceDE w:val="0"/>
        <w:autoSpaceDN w:val="0"/>
        <w:adjustRightInd w:val="0"/>
        <w:spacing w:after="0" w:line="240" w:lineRule="auto"/>
        <w:jc w:val="both"/>
        <w:rPr>
          <w:rFonts w:ascii="Arial" w:eastAsia="Times New Roman" w:hAnsi="Arial" w:cs="Arial"/>
          <w:sz w:val="18"/>
          <w:szCs w:val="18"/>
          <w:lang w:eastAsia="es-ES"/>
        </w:rPr>
      </w:pPr>
      <w:r w:rsidRPr="00463E9C">
        <w:rPr>
          <w:rFonts w:ascii="Arial" w:eastAsia="Times New Roman" w:hAnsi="Arial" w:cs="Arial"/>
          <w:sz w:val="18"/>
          <w:szCs w:val="18"/>
          <w:lang w:eastAsia="es-ES"/>
        </w:rPr>
        <w:t>La preparación de los Estados Financieros Consolidados requiere llevar a cabo estimaciones contables relevantes y la realización de juicios, estimaciones e hipótesis en el proceso de aplicación de las políticas contables del Grupo por parte de la Dirección de la Sociedad dominante. Estos han sido aplicados de manera uniforme con los empleados en las últimas cuentas anuales consolidadas del ejercicio 201</w:t>
      </w:r>
      <w:r>
        <w:rPr>
          <w:rFonts w:ascii="Arial" w:eastAsia="Times New Roman" w:hAnsi="Arial" w:cs="Arial"/>
          <w:sz w:val="18"/>
          <w:szCs w:val="18"/>
          <w:lang w:eastAsia="es-ES"/>
        </w:rPr>
        <w:t>7</w:t>
      </w:r>
      <w:r w:rsidRPr="00463E9C">
        <w:rPr>
          <w:rFonts w:ascii="Arial" w:eastAsia="Times New Roman" w:hAnsi="Arial" w:cs="Arial"/>
          <w:sz w:val="18"/>
          <w:szCs w:val="18"/>
          <w:lang w:eastAsia="es-ES"/>
        </w:rPr>
        <w:t xml:space="preserve">, excepto por las normas e interpretaciones que entraron en </w:t>
      </w:r>
      <w:r>
        <w:rPr>
          <w:rFonts w:ascii="Arial" w:eastAsia="Times New Roman" w:hAnsi="Arial" w:cs="Arial"/>
          <w:sz w:val="18"/>
          <w:szCs w:val="18"/>
          <w:lang w:eastAsia="es-ES"/>
        </w:rPr>
        <w:t>vigor durante el ejercicio 2018</w:t>
      </w:r>
      <w:r w:rsidRPr="00463E9C">
        <w:rPr>
          <w:rFonts w:ascii="Arial" w:eastAsia="Times New Roman" w:hAnsi="Arial" w:cs="Arial"/>
          <w:sz w:val="18"/>
          <w:szCs w:val="18"/>
          <w:lang w:eastAsia="es-ES"/>
        </w:rPr>
        <w:t>.</w:t>
      </w:r>
    </w:p>
    <w:p w14:paraId="23973603" w14:textId="77777777" w:rsidR="003C3452" w:rsidRPr="00463E9C" w:rsidRDefault="003C3452" w:rsidP="003C3452">
      <w:pPr>
        <w:autoSpaceDE w:val="0"/>
        <w:autoSpaceDN w:val="0"/>
        <w:adjustRightInd w:val="0"/>
        <w:spacing w:after="0" w:line="240" w:lineRule="auto"/>
        <w:jc w:val="both"/>
        <w:rPr>
          <w:rFonts w:ascii="Arial" w:eastAsia="Times New Roman" w:hAnsi="Arial" w:cs="Arial"/>
          <w:sz w:val="18"/>
          <w:szCs w:val="18"/>
          <w:lang w:eastAsia="es-ES"/>
        </w:rPr>
      </w:pPr>
    </w:p>
    <w:p w14:paraId="7AFFDFD6" w14:textId="77777777" w:rsidR="003C3452" w:rsidRPr="00843982" w:rsidRDefault="003C3452" w:rsidP="00843982">
      <w:p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Durante el ejercicio 2018</w:t>
      </w:r>
      <w:r w:rsidRPr="00463E9C">
        <w:rPr>
          <w:rFonts w:ascii="Arial" w:eastAsia="Times New Roman" w:hAnsi="Arial" w:cs="Arial"/>
          <w:sz w:val="18"/>
          <w:szCs w:val="18"/>
          <w:lang w:eastAsia="es-ES"/>
        </w:rPr>
        <w:t xml:space="preserve"> han entrado en vigor las siguientes normas, modificaciones de normas e interpretaciones, que, en caso de resultar de aplicación, han sido utilizadas por e</w:t>
      </w:r>
      <w:r>
        <w:rPr>
          <w:rFonts w:ascii="Arial" w:eastAsia="Times New Roman" w:hAnsi="Arial" w:cs="Arial"/>
          <w:sz w:val="18"/>
          <w:szCs w:val="18"/>
          <w:lang w:eastAsia="es-ES"/>
        </w:rPr>
        <w:t>l Grupo en la elaboración de los estados financieros intermedios consolidados</w:t>
      </w:r>
      <w:r w:rsidRPr="00463E9C">
        <w:rPr>
          <w:rFonts w:ascii="Arial" w:eastAsia="Times New Roman" w:hAnsi="Arial" w:cs="Arial"/>
          <w:sz w:val="18"/>
          <w:szCs w:val="18"/>
          <w:lang w:eastAsia="es-ES"/>
        </w:rPr>
        <w:t xml:space="preserve">: </w:t>
      </w:r>
    </w:p>
    <w:tbl>
      <w:tblPr>
        <w:tblW w:w="10092" w:type="dxa"/>
        <w:jc w:val="center"/>
        <w:tblBorders>
          <w:top w:val="single" w:sz="4" w:space="0" w:color="auto"/>
          <w:left w:val="single" w:sz="4" w:space="0" w:color="auto"/>
          <w:bottom w:val="single" w:sz="4" w:space="0" w:color="auto"/>
          <w:right w:val="single" w:sz="4" w:space="0" w:color="auto"/>
        </w:tblBorders>
        <w:tblLayout w:type="fixed"/>
        <w:tblCellMar>
          <w:top w:w="57" w:type="dxa"/>
          <w:bottom w:w="57" w:type="dxa"/>
        </w:tblCellMar>
        <w:tblLook w:val="04A0" w:firstRow="1" w:lastRow="0" w:firstColumn="1" w:lastColumn="0" w:noHBand="0" w:noVBand="1"/>
      </w:tblPr>
      <w:tblGrid>
        <w:gridCol w:w="3935"/>
        <w:gridCol w:w="3751"/>
        <w:gridCol w:w="14"/>
        <w:gridCol w:w="2392"/>
      </w:tblGrid>
      <w:tr w:rsidR="003C3452" w:rsidRPr="00F333E5" w14:paraId="2F192E2D" w14:textId="77777777" w:rsidTr="007A74E1">
        <w:trPr>
          <w:trHeight w:val="20"/>
          <w:jc w:val="center"/>
        </w:trPr>
        <w:tc>
          <w:tcPr>
            <w:tcW w:w="3935" w:type="dxa"/>
            <w:tcBorders>
              <w:top w:val="single" w:sz="4" w:space="0" w:color="auto"/>
              <w:bottom w:val="single" w:sz="4" w:space="0" w:color="auto"/>
              <w:right w:val="single" w:sz="4" w:space="0" w:color="auto"/>
            </w:tcBorders>
            <w:shd w:val="clear" w:color="auto" w:fill="auto"/>
            <w:vAlign w:val="bottom"/>
          </w:tcPr>
          <w:p w14:paraId="453B1146" w14:textId="77777777" w:rsidR="003C3452" w:rsidRPr="00F333E5" w:rsidRDefault="003C3452" w:rsidP="007A74E1">
            <w:pPr>
              <w:keepNext/>
              <w:jc w:val="center"/>
              <w:rPr>
                <w:rFonts w:ascii="Arial" w:eastAsia="Times" w:hAnsi="Arial" w:cs="Arial"/>
                <w:b/>
                <w:sz w:val="17"/>
                <w:szCs w:val="17"/>
              </w:rPr>
            </w:pPr>
            <w:r w:rsidRPr="00F333E5">
              <w:rPr>
                <w:rFonts w:ascii="Arial" w:eastAsia="Times" w:hAnsi="Arial" w:cs="Arial"/>
                <w:b/>
                <w:sz w:val="17"/>
                <w:szCs w:val="17"/>
              </w:rPr>
              <w:lastRenderedPageBreak/>
              <w:t>Nuevas Normas, Modificaciones e Interpretaciones</w:t>
            </w:r>
          </w:p>
        </w:tc>
        <w:tc>
          <w:tcPr>
            <w:tcW w:w="376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128014" w14:textId="77777777" w:rsidR="003C3452" w:rsidRPr="00F333E5" w:rsidRDefault="003C3452" w:rsidP="007A74E1">
            <w:pPr>
              <w:keepNext/>
              <w:jc w:val="center"/>
              <w:rPr>
                <w:rFonts w:ascii="Arial" w:eastAsia="Times" w:hAnsi="Arial" w:cs="Arial"/>
                <w:b/>
                <w:sz w:val="17"/>
                <w:szCs w:val="17"/>
              </w:rPr>
            </w:pPr>
            <w:r w:rsidRPr="00F333E5">
              <w:rPr>
                <w:rFonts w:ascii="Arial" w:eastAsia="Times" w:hAnsi="Arial" w:cs="Arial"/>
                <w:b/>
                <w:sz w:val="17"/>
                <w:szCs w:val="17"/>
              </w:rPr>
              <w:t>Descripción</w:t>
            </w:r>
          </w:p>
        </w:tc>
        <w:tc>
          <w:tcPr>
            <w:tcW w:w="2392" w:type="dxa"/>
            <w:tcBorders>
              <w:top w:val="single" w:sz="4" w:space="0" w:color="auto"/>
              <w:left w:val="single" w:sz="4" w:space="0" w:color="auto"/>
              <w:bottom w:val="single" w:sz="4" w:space="0" w:color="auto"/>
            </w:tcBorders>
            <w:shd w:val="clear" w:color="auto" w:fill="auto"/>
            <w:vAlign w:val="bottom"/>
          </w:tcPr>
          <w:p w14:paraId="0EC823FC" w14:textId="77777777" w:rsidR="003C3452" w:rsidRPr="00F333E5" w:rsidRDefault="003C3452" w:rsidP="007A74E1">
            <w:pPr>
              <w:keepNext/>
              <w:jc w:val="center"/>
              <w:rPr>
                <w:rFonts w:ascii="Arial" w:eastAsia="Times" w:hAnsi="Arial" w:cs="Arial"/>
                <w:b/>
                <w:sz w:val="17"/>
                <w:szCs w:val="17"/>
              </w:rPr>
            </w:pPr>
            <w:r w:rsidRPr="00F333E5">
              <w:rPr>
                <w:rFonts w:ascii="Arial" w:eastAsia="Times" w:hAnsi="Arial" w:cs="Arial"/>
                <w:b/>
                <w:sz w:val="17"/>
                <w:szCs w:val="17"/>
              </w:rPr>
              <w:t>Aplicación Obligatoria</w:t>
            </w:r>
            <w:r w:rsidRPr="00F333E5">
              <w:rPr>
                <w:rFonts w:ascii="Arial" w:eastAsia="Times" w:hAnsi="Arial" w:cs="Arial"/>
                <w:b/>
                <w:sz w:val="17"/>
                <w:szCs w:val="17"/>
              </w:rPr>
              <w:br/>
              <w:t>Ejercicios Iniciados a partir de:</w:t>
            </w:r>
          </w:p>
        </w:tc>
      </w:tr>
      <w:tr w:rsidR="003C3452" w:rsidRPr="00F333E5" w14:paraId="389AF15E" w14:textId="77777777" w:rsidTr="007A74E1">
        <w:trPr>
          <w:trHeight w:val="20"/>
          <w:jc w:val="center"/>
        </w:trPr>
        <w:tc>
          <w:tcPr>
            <w:tcW w:w="10092" w:type="dxa"/>
            <w:gridSpan w:val="4"/>
            <w:tcBorders>
              <w:top w:val="nil"/>
              <w:left w:val="single" w:sz="4" w:space="0" w:color="auto"/>
              <w:bottom w:val="single" w:sz="4" w:space="0" w:color="auto"/>
              <w:right w:val="single" w:sz="4" w:space="0" w:color="auto"/>
            </w:tcBorders>
            <w:shd w:val="clear" w:color="auto" w:fill="auto"/>
            <w:vAlign w:val="bottom"/>
          </w:tcPr>
          <w:p w14:paraId="740D2D97" w14:textId="77777777" w:rsidR="003C3452" w:rsidRPr="00F333E5" w:rsidRDefault="003C3452" w:rsidP="007A74E1">
            <w:pPr>
              <w:keepNext/>
              <w:ind w:left="113" w:hanging="113"/>
              <w:rPr>
                <w:rFonts w:ascii="Arial" w:eastAsia="Times" w:hAnsi="Arial" w:cs="Arial"/>
                <w:b/>
                <w:sz w:val="17"/>
                <w:szCs w:val="17"/>
              </w:rPr>
            </w:pPr>
            <w:r>
              <w:rPr>
                <w:rFonts w:ascii="Arial" w:eastAsia="Times" w:hAnsi="Arial" w:cs="Arial"/>
                <w:b/>
                <w:sz w:val="17"/>
                <w:szCs w:val="17"/>
              </w:rPr>
              <w:t>Aprobadas para su uso en la Unión Europea</w:t>
            </w:r>
          </w:p>
        </w:tc>
      </w:tr>
      <w:tr w:rsidR="003C3452" w:rsidRPr="00F333E5" w14:paraId="11F4FF1E" w14:textId="77777777" w:rsidTr="003C3452">
        <w:trPr>
          <w:trHeight w:val="20"/>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2B2A7233" w14:textId="77777777" w:rsidR="003C3452" w:rsidRPr="00F333E5" w:rsidRDefault="003C3452" w:rsidP="007A74E1">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NIIF 15 Ingresos procedentes de contratos con clientes (publicada en mayo de 2014) y sus clarificaciones (publicadas en abril de 2016)</w:t>
            </w:r>
          </w:p>
        </w:tc>
        <w:tc>
          <w:tcPr>
            <w:tcW w:w="3751" w:type="dxa"/>
            <w:tcBorders>
              <w:top w:val="single" w:sz="4" w:space="0" w:color="auto"/>
              <w:left w:val="single" w:sz="4" w:space="0" w:color="auto"/>
              <w:bottom w:val="single" w:sz="4" w:space="0" w:color="auto"/>
              <w:right w:val="single" w:sz="4" w:space="0" w:color="auto"/>
            </w:tcBorders>
            <w:shd w:val="clear" w:color="auto" w:fill="auto"/>
          </w:tcPr>
          <w:p w14:paraId="166BDA35" w14:textId="77777777" w:rsidR="003C3452" w:rsidRPr="00F333E5" w:rsidRDefault="003C3452" w:rsidP="007A74E1">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Nueva norma de reconocimiento de ingresos, que sustituye a la NIC11, NIC 18, CNINIIF 13, CNINIIF 15, CNINIIF 18 y SIC 31. </w:t>
            </w:r>
          </w:p>
        </w:tc>
        <w:tc>
          <w:tcPr>
            <w:tcW w:w="2406" w:type="dxa"/>
            <w:gridSpan w:val="2"/>
            <w:vMerge w:val="restart"/>
            <w:tcBorders>
              <w:top w:val="single" w:sz="4" w:space="0" w:color="auto"/>
              <w:left w:val="single" w:sz="4" w:space="0" w:color="auto"/>
              <w:right w:val="single" w:sz="4" w:space="0" w:color="auto"/>
            </w:tcBorders>
            <w:shd w:val="clear" w:color="auto" w:fill="auto"/>
            <w:vAlign w:val="center"/>
          </w:tcPr>
          <w:p w14:paraId="429EE843" w14:textId="77777777" w:rsidR="003C3452" w:rsidRPr="00F333E5" w:rsidRDefault="003C3452" w:rsidP="007A74E1">
            <w:pPr>
              <w:keepNext/>
              <w:spacing w:after="120"/>
              <w:rPr>
                <w:rFonts w:ascii="Arial" w:eastAsia="Times" w:hAnsi="Arial" w:cs="Arial"/>
                <w:sz w:val="17"/>
                <w:szCs w:val="17"/>
              </w:rPr>
            </w:pPr>
          </w:p>
          <w:p w14:paraId="65413757" w14:textId="77777777" w:rsidR="003C3452" w:rsidRPr="00F333E5" w:rsidRDefault="003C3452" w:rsidP="007A74E1">
            <w:pPr>
              <w:keepNext/>
              <w:spacing w:after="120"/>
              <w:jc w:val="center"/>
              <w:rPr>
                <w:rFonts w:ascii="Arial" w:eastAsia="Times" w:hAnsi="Arial" w:cs="Arial"/>
                <w:sz w:val="17"/>
                <w:szCs w:val="17"/>
                <w:vertAlign w:val="superscript"/>
              </w:rPr>
            </w:pPr>
            <w:r>
              <w:rPr>
                <w:rFonts w:ascii="Arial" w:eastAsia="Times" w:hAnsi="Arial" w:cs="Arial"/>
                <w:sz w:val="17"/>
                <w:szCs w:val="17"/>
              </w:rPr>
              <w:t>1 de enero de 2018</w:t>
            </w:r>
          </w:p>
        </w:tc>
      </w:tr>
      <w:tr w:rsidR="003C3452" w:rsidRPr="00F333E5" w14:paraId="3055F9A5" w14:textId="77777777" w:rsidTr="003C3452">
        <w:trPr>
          <w:trHeight w:val="1158"/>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7EEBD4B2" w14:textId="77777777" w:rsidR="003C3452" w:rsidRPr="00F333E5" w:rsidRDefault="003C3452" w:rsidP="003C3452">
            <w:pPr>
              <w:keepNext/>
              <w:spacing w:after="120"/>
              <w:ind w:left="113" w:hanging="113"/>
              <w:jc w:val="both"/>
              <w:rPr>
                <w:rFonts w:ascii="Arial" w:eastAsia="Times" w:hAnsi="Arial" w:cs="Arial"/>
                <w:sz w:val="17"/>
                <w:szCs w:val="17"/>
              </w:rPr>
            </w:pPr>
            <w:r w:rsidRPr="00F333E5">
              <w:rPr>
                <w:rFonts w:ascii="Arial" w:eastAsia="Times" w:hAnsi="Arial" w:cs="Arial"/>
                <w:sz w:val="17"/>
                <w:szCs w:val="17"/>
              </w:rPr>
              <w:t xml:space="preserve">  </w:t>
            </w:r>
            <w:r>
              <w:rPr>
                <w:rFonts w:ascii="Arial" w:eastAsia="Times" w:hAnsi="Arial" w:cs="Arial"/>
                <w:sz w:val="17"/>
                <w:szCs w:val="17"/>
              </w:rPr>
              <w:t>NIIF 9 Instrumentos Financieros (publicada en julio de 2014)</w:t>
            </w:r>
          </w:p>
          <w:p w14:paraId="384BB6B6" w14:textId="77777777" w:rsidR="003C3452" w:rsidRPr="00F333E5" w:rsidRDefault="003C3452" w:rsidP="007A74E1">
            <w:pPr>
              <w:keepNext/>
              <w:spacing w:after="120"/>
              <w:ind w:left="113" w:hanging="113"/>
              <w:jc w:val="both"/>
              <w:rPr>
                <w:rFonts w:ascii="Arial" w:eastAsia="Times" w:hAnsi="Arial" w:cs="Arial"/>
                <w:sz w:val="17"/>
                <w:szCs w:val="17"/>
              </w:rPr>
            </w:pPr>
          </w:p>
        </w:tc>
        <w:tc>
          <w:tcPr>
            <w:tcW w:w="3751" w:type="dxa"/>
            <w:tcBorders>
              <w:top w:val="nil"/>
              <w:left w:val="single" w:sz="4" w:space="0" w:color="auto"/>
              <w:bottom w:val="single" w:sz="4" w:space="0" w:color="auto"/>
              <w:right w:val="single" w:sz="4" w:space="0" w:color="auto"/>
            </w:tcBorders>
            <w:shd w:val="clear" w:color="auto" w:fill="auto"/>
          </w:tcPr>
          <w:p w14:paraId="4BAD3C4F" w14:textId="77777777" w:rsidR="003C3452" w:rsidRPr="00F333E5" w:rsidRDefault="003C3452" w:rsidP="003C3452">
            <w:pPr>
              <w:keepNext/>
              <w:spacing w:after="120"/>
              <w:ind w:left="113" w:hanging="113"/>
              <w:jc w:val="both"/>
              <w:rPr>
                <w:rFonts w:ascii="Arial" w:eastAsia="Times" w:hAnsi="Arial" w:cs="Arial"/>
                <w:sz w:val="17"/>
                <w:szCs w:val="17"/>
              </w:rPr>
            </w:pPr>
            <w:r w:rsidRPr="00F333E5">
              <w:rPr>
                <w:rFonts w:ascii="Arial" w:eastAsia="Times" w:hAnsi="Arial" w:cs="Arial"/>
                <w:sz w:val="17"/>
                <w:szCs w:val="17"/>
              </w:rPr>
              <w:t xml:space="preserve">  </w:t>
            </w:r>
            <w:r>
              <w:rPr>
                <w:rFonts w:ascii="Arial" w:eastAsia="Times" w:hAnsi="Arial" w:cs="Arial"/>
                <w:sz w:val="17"/>
                <w:szCs w:val="17"/>
              </w:rPr>
              <w:t>Sustituye los requisitos de clasificación, valoración, reconocimiento y baja de cuentas de activos y pasivos financieros, la contabilidad de coberturas y deterioro de la NIC 39.</w:t>
            </w:r>
          </w:p>
        </w:tc>
        <w:tc>
          <w:tcPr>
            <w:tcW w:w="2406" w:type="dxa"/>
            <w:gridSpan w:val="2"/>
            <w:vMerge/>
            <w:tcBorders>
              <w:left w:val="single" w:sz="4" w:space="0" w:color="auto"/>
              <w:bottom w:val="single" w:sz="4" w:space="0" w:color="auto"/>
              <w:right w:val="single" w:sz="4" w:space="0" w:color="auto"/>
            </w:tcBorders>
            <w:shd w:val="clear" w:color="auto" w:fill="auto"/>
            <w:vAlign w:val="center"/>
          </w:tcPr>
          <w:p w14:paraId="4FEF7485" w14:textId="77777777" w:rsidR="003C3452" w:rsidRPr="00F333E5" w:rsidRDefault="003C3452" w:rsidP="007A74E1">
            <w:pPr>
              <w:keepNext/>
              <w:spacing w:after="120"/>
              <w:rPr>
                <w:rFonts w:ascii="Arial" w:eastAsia="Times" w:hAnsi="Arial" w:cs="Arial"/>
                <w:sz w:val="17"/>
                <w:szCs w:val="17"/>
              </w:rPr>
            </w:pPr>
          </w:p>
        </w:tc>
      </w:tr>
      <w:tr w:rsidR="003C3452" w:rsidRPr="00F333E5" w14:paraId="3BFEF49A" w14:textId="77777777" w:rsidTr="007A74E1">
        <w:trPr>
          <w:trHeight w:val="20"/>
          <w:jc w:val="center"/>
        </w:trPr>
        <w:tc>
          <w:tcPr>
            <w:tcW w:w="10092" w:type="dxa"/>
            <w:gridSpan w:val="4"/>
            <w:tcBorders>
              <w:top w:val="nil"/>
              <w:left w:val="single" w:sz="4" w:space="0" w:color="auto"/>
              <w:bottom w:val="single" w:sz="4" w:space="0" w:color="auto"/>
              <w:right w:val="single" w:sz="4" w:space="0" w:color="auto"/>
            </w:tcBorders>
            <w:shd w:val="clear" w:color="auto" w:fill="auto"/>
            <w:vAlign w:val="bottom"/>
          </w:tcPr>
          <w:p w14:paraId="6D56F4EC" w14:textId="77777777" w:rsidR="003C3452" w:rsidRPr="00F333E5" w:rsidRDefault="003C3452" w:rsidP="007A74E1">
            <w:pPr>
              <w:keepNext/>
              <w:ind w:left="113" w:hanging="113"/>
              <w:rPr>
                <w:rFonts w:ascii="Arial" w:eastAsia="Times" w:hAnsi="Arial" w:cs="Arial"/>
                <w:b/>
                <w:sz w:val="17"/>
                <w:szCs w:val="17"/>
              </w:rPr>
            </w:pPr>
            <w:r w:rsidRPr="00F333E5">
              <w:rPr>
                <w:rFonts w:ascii="Arial" w:eastAsia="Times" w:hAnsi="Arial" w:cs="Arial"/>
                <w:b/>
                <w:sz w:val="17"/>
                <w:szCs w:val="17"/>
              </w:rPr>
              <w:t>Modificaciones y/o interpretaciones</w:t>
            </w:r>
          </w:p>
        </w:tc>
      </w:tr>
      <w:tr w:rsidR="003C3452" w:rsidRPr="00F333E5" w14:paraId="1E835238" w14:textId="77777777" w:rsidTr="009176E3">
        <w:trPr>
          <w:trHeight w:val="20"/>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3EFA7CF4" w14:textId="77777777" w:rsidR="003C3452" w:rsidRPr="00F333E5" w:rsidRDefault="003C3452" w:rsidP="007A74E1">
            <w:pPr>
              <w:keepNext/>
              <w:spacing w:after="120"/>
              <w:ind w:left="113" w:hanging="113"/>
              <w:jc w:val="both"/>
              <w:rPr>
                <w:rFonts w:ascii="Arial" w:eastAsia="Times" w:hAnsi="Arial" w:cs="Arial"/>
                <w:sz w:val="17"/>
                <w:szCs w:val="17"/>
              </w:rPr>
            </w:pPr>
            <w:r w:rsidRPr="00F333E5">
              <w:rPr>
                <w:rFonts w:ascii="Arial" w:eastAsia="Times" w:hAnsi="Arial" w:cs="Arial"/>
                <w:sz w:val="17"/>
                <w:szCs w:val="17"/>
              </w:rPr>
              <w:t xml:space="preserve">   Modi</w:t>
            </w:r>
            <w:r>
              <w:rPr>
                <w:rFonts w:ascii="Arial" w:eastAsia="Times" w:hAnsi="Arial" w:cs="Arial"/>
                <w:sz w:val="17"/>
                <w:szCs w:val="17"/>
              </w:rPr>
              <w:t>ficación a la NIIF 2 Clasificación y valoración de pagos basados en acciones (publicado en junio de 2016)</w:t>
            </w:r>
          </w:p>
        </w:tc>
        <w:tc>
          <w:tcPr>
            <w:tcW w:w="3751" w:type="dxa"/>
            <w:tcBorders>
              <w:top w:val="single" w:sz="4" w:space="0" w:color="auto"/>
              <w:left w:val="single" w:sz="4" w:space="0" w:color="auto"/>
              <w:bottom w:val="single" w:sz="4" w:space="0" w:color="auto"/>
              <w:right w:val="single" w:sz="4" w:space="0" w:color="auto"/>
            </w:tcBorders>
            <w:shd w:val="clear" w:color="auto" w:fill="auto"/>
          </w:tcPr>
          <w:p w14:paraId="2A9881A5" w14:textId="77777777" w:rsidR="003C3452" w:rsidRPr="00F333E5" w:rsidRDefault="003C3452" w:rsidP="007A74E1">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w:t>
            </w:r>
            <w:r w:rsidR="009176E3" w:rsidRPr="009176E3">
              <w:rPr>
                <w:rFonts w:ascii="Arial" w:eastAsia="Times" w:hAnsi="Arial" w:cs="Arial"/>
                <w:sz w:val="17"/>
                <w:szCs w:val="17"/>
              </w:rPr>
              <w:t xml:space="preserve">Son modificaciones limitadas que aclaran cuestiones concretas como los efectos de las condiciones de devengo en pagos basados en acciones a liquidar en efectivo, la clasificación de pagos basados en acciones cuando tiene cláusulas </w:t>
            </w:r>
            <w:proofErr w:type="gramStart"/>
            <w:r w:rsidR="009176E3" w:rsidRPr="009176E3">
              <w:rPr>
                <w:rFonts w:ascii="Arial" w:eastAsia="Times" w:hAnsi="Arial" w:cs="Arial"/>
                <w:sz w:val="17"/>
                <w:szCs w:val="17"/>
              </w:rPr>
              <w:t>de  liquidación</w:t>
            </w:r>
            <w:proofErr w:type="gramEnd"/>
            <w:r w:rsidR="009176E3" w:rsidRPr="009176E3">
              <w:rPr>
                <w:rFonts w:ascii="Arial" w:eastAsia="Times" w:hAnsi="Arial" w:cs="Arial"/>
                <w:sz w:val="17"/>
                <w:szCs w:val="17"/>
              </w:rPr>
              <w:t xml:space="preserve"> por el neto y algunos aspectos de las modificaciones del tipo de pago basado en acciones.</w:t>
            </w:r>
          </w:p>
        </w:tc>
        <w:tc>
          <w:tcPr>
            <w:tcW w:w="2406" w:type="dxa"/>
            <w:gridSpan w:val="2"/>
            <w:vMerge w:val="restart"/>
            <w:tcBorders>
              <w:top w:val="single" w:sz="4" w:space="0" w:color="auto"/>
              <w:left w:val="single" w:sz="4" w:space="0" w:color="auto"/>
              <w:right w:val="single" w:sz="4" w:space="0" w:color="auto"/>
            </w:tcBorders>
            <w:shd w:val="clear" w:color="auto" w:fill="auto"/>
            <w:vAlign w:val="center"/>
          </w:tcPr>
          <w:p w14:paraId="37B26B16" w14:textId="77777777" w:rsidR="003C3452" w:rsidRPr="00F333E5" w:rsidRDefault="003C3452" w:rsidP="007A74E1">
            <w:pPr>
              <w:keepNext/>
              <w:spacing w:after="120"/>
              <w:rPr>
                <w:rFonts w:ascii="Arial" w:eastAsia="Times" w:hAnsi="Arial" w:cs="Arial"/>
                <w:sz w:val="17"/>
                <w:szCs w:val="17"/>
              </w:rPr>
            </w:pPr>
          </w:p>
          <w:p w14:paraId="52C30428" w14:textId="77777777" w:rsidR="003C3452" w:rsidRPr="00F333E5" w:rsidRDefault="009176E3" w:rsidP="007A74E1">
            <w:pPr>
              <w:keepNext/>
              <w:spacing w:after="120"/>
              <w:jc w:val="center"/>
              <w:rPr>
                <w:rFonts w:ascii="Arial" w:eastAsia="Times" w:hAnsi="Arial" w:cs="Arial"/>
                <w:sz w:val="17"/>
                <w:szCs w:val="17"/>
                <w:vertAlign w:val="superscript"/>
              </w:rPr>
            </w:pPr>
            <w:r>
              <w:rPr>
                <w:rFonts w:ascii="Arial" w:eastAsia="Times" w:hAnsi="Arial" w:cs="Arial"/>
                <w:sz w:val="17"/>
                <w:szCs w:val="17"/>
              </w:rPr>
              <w:t>1 de enero de 2018</w:t>
            </w:r>
          </w:p>
        </w:tc>
      </w:tr>
      <w:tr w:rsidR="003C3452" w:rsidRPr="00F333E5" w14:paraId="36603992" w14:textId="77777777" w:rsidTr="009176E3">
        <w:trPr>
          <w:trHeight w:val="20"/>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2EF5E019" w14:textId="77777777" w:rsidR="003C3452" w:rsidRPr="00F333E5" w:rsidRDefault="003C3452" w:rsidP="007A74E1">
            <w:pPr>
              <w:keepNext/>
              <w:spacing w:after="120"/>
              <w:ind w:left="113" w:hanging="113"/>
              <w:jc w:val="both"/>
              <w:rPr>
                <w:rFonts w:ascii="Arial" w:eastAsia="Times" w:hAnsi="Arial" w:cs="Arial"/>
                <w:sz w:val="17"/>
                <w:szCs w:val="17"/>
              </w:rPr>
            </w:pPr>
            <w:r w:rsidRPr="00F333E5">
              <w:rPr>
                <w:rFonts w:ascii="Arial" w:eastAsia="Times" w:hAnsi="Arial" w:cs="Arial"/>
                <w:sz w:val="17"/>
                <w:szCs w:val="17"/>
              </w:rPr>
              <w:t xml:space="preserve">  Modificación a la </w:t>
            </w:r>
            <w:r w:rsidR="009176E3">
              <w:rPr>
                <w:rFonts w:ascii="Arial" w:eastAsia="Times" w:hAnsi="Arial" w:cs="Arial"/>
                <w:sz w:val="17"/>
                <w:szCs w:val="17"/>
              </w:rPr>
              <w:t>NIIF 4 Contratos de seguros (publicada en septiembre de 2016)</w:t>
            </w:r>
          </w:p>
          <w:p w14:paraId="29A2E9F0" w14:textId="77777777" w:rsidR="003C3452" w:rsidRPr="00F333E5" w:rsidRDefault="003C3452" w:rsidP="007A74E1">
            <w:pPr>
              <w:keepNext/>
              <w:spacing w:after="120"/>
              <w:ind w:left="113" w:hanging="113"/>
              <w:jc w:val="both"/>
              <w:rPr>
                <w:rFonts w:ascii="Arial" w:eastAsia="Times" w:hAnsi="Arial" w:cs="Arial"/>
                <w:sz w:val="17"/>
                <w:szCs w:val="17"/>
              </w:rPr>
            </w:pPr>
          </w:p>
          <w:p w14:paraId="69F56145" w14:textId="77777777" w:rsidR="003C3452" w:rsidRPr="00F333E5" w:rsidRDefault="003C3452" w:rsidP="007A74E1">
            <w:pPr>
              <w:keepNext/>
              <w:spacing w:after="120"/>
              <w:ind w:left="113" w:hanging="113"/>
              <w:jc w:val="both"/>
              <w:rPr>
                <w:rFonts w:ascii="Arial" w:eastAsia="Times" w:hAnsi="Arial" w:cs="Arial"/>
                <w:sz w:val="17"/>
                <w:szCs w:val="17"/>
              </w:rPr>
            </w:pPr>
          </w:p>
        </w:tc>
        <w:tc>
          <w:tcPr>
            <w:tcW w:w="3751" w:type="dxa"/>
            <w:tcBorders>
              <w:top w:val="single" w:sz="4" w:space="0" w:color="auto"/>
              <w:left w:val="single" w:sz="4" w:space="0" w:color="auto"/>
              <w:bottom w:val="single" w:sz="4" w:space="0" w:color="auto"/>
              <w:right w:val="single" w:sz="4" w:space="0" w:color="auto"/>
            </w:tcBorders>
            <w:shd w:val="clear" w:color="auto" w:fill="auto"/>
          </w:tcPr>
          <w:p w14:paraId="05A1800B" w14:textId="77777777" w:rsidR="003C3452" w:rsidRPr="00F333E5" w:rsidRDefault="003C3452" w:rsidP="009176E3">
            <w:pPr>
              <w:keepNext/>
              <w:spacing w:after="120"/>
              <w:ind w:left="113" w:hanging="113"/>
              <w:jc w:val="both"/>
              <w:rPr>
                <w:rFonts w:ascii="Arial" w:eastAsia="Times" w:hAnsi="Arial" w:cs="Arial"/>
                <w:sz w:val="17"/>
                <w:szCs w:val="17"/>
              </w:rPr>
            </w:pPr>
            <w:r w:rsidRPr="00F333E5">
              <w:rPr>
                <w:rFonts w:ascii="Arial" w:eastAsia="Times" w:hAnsi="Arial" w:cs="Arial"/>
                <w:sz w:val="17"/>
                <w:szCs w:val="17"/>
              </w:rPr>
              <w:t xml:space="preserve">  </w:t>
            </w:r>
            <w:r w:rsidR="009176E3" w:rsidRPr="009176E3">
              <w:rPr>
                <w:rFonts w:ascii="Arial" w:eastAsia="Times" w:hAnsi="Arial" w:cs="Arial"/>
                <w:sz w:val="17"/>
                <w:szCs w:val="17"/>
              </w:rPr>
              <w:t>Permite a las entidades bajo el alcance de la NIIF 4, la opción de aplicar la NIIF 9 (“</w:t>
            </w:r>
            <w:proofErr w:type="spellStart"/>
            <w:r w:rsidR="009176E3" w:rsidRPr="009176E3">
              <w:rPr>
                <w:rFonts w:ascii="Arial" w:eastAsia="Times" w:hAnsi="Arial" w:cs="Arial"/>
                <w:sz w:val="17"/>
                <w:szCs w:val="17"/>
              </w:rPr>
              <w:t>overlay</w:t>
            </w:r>
            <w:proofErr w:type="spellEnd"/>
            <w:r w:rsidR="009176E3" w:rsidRPr="009176E3">
              <w:rPr>
                <w:rFonts w:ascii="Arial" w:eastAsia="Times" w:hAnsi="Arial" w:cs="Arial"/>
                <w:sz w:val="17"/>
                <w:szCs w:val="17"/>
              </w:rPr>
              <w:t xml:space="preserve"> </w:t>
            </w:r>
            <w:proofErr w:type="spellStart"/>
            <w:r w:rsidR="009176E3" w:rsidRPr="009176E3">
              <w:rPr>
                <w:rFonts w:ascii="Arial" w:eastAsia="Times" w:hAnsi="Arial" w:cs="Arial"/>
                <w:sz w:val="17"/>
                <w:szCs w:val="17"/>
              </w:rPr>
              <w:t>ap</w:t>
            </w:r>
            <w:r w:rsidR="009176E3">
              <w:rPr>
                <w:rFonts w:ascii="Arial" w:eastAsia="Times" w:hAnsi="Arial" w:cs="Arial"/>
                <w:sz w:val="17"/>
                <w:szCs w:val="17"/>
              </w:rPr>
              <w:t>proach</w:t>
            </w:r>
            <w:proofErr w:type="spellEnd"/>
            <w:r w:rsidR="009176E3">
              <w:rPr>
                <w:rFonts w:ascii="Arial" w:eastAsia="Times" w:hAnsi="Arial" w:cs="Arial"/>
                <w:sz w:val="17"/>
                <w:szCs w:val="17"/>
              </w:rPr>
              <w:t>”) o su exención temporal.</w:t>
            </w:r>
          </w:p>
        </w:tc>
        <w:tc>
          <w:tcPr>
            <w:tcW w:w="2406" w:type="dxa"/>
            <w:gridSpan w:val="2"/>
            <w:vMerge/>
            <w:tcBorders>
              <w:left w:val="single" w:sz="4" w:space="0" w:color="auto"/>
              <w:right w:val="single" w:sz="4" w:space="0" w:color="auto"/>
            </w:tcBorders>
            <w:shd w:val="clear" w:color="auto" w:fill="auto"/>
            <w:vAlign w:val="center"/>
          </w:tcPr>
          <w:p w14:paraId="1FB9CFA9" w14:textId="77777777" w:rsidR="003C3452" w:rsidRPr="00F333E5" w:rsidRDefault="003C3452" w:rsidP="007A74E1">
            <w:pPr>
              <w:keepNext/>
              <w:spacing w:after="120"/>
              <w:rPr>
                <w:rFonts w:ascii="Arial" w:eastAsia="Times" w:hAnsi="Arial" w:cs="Arial"/>
                <w:sz w:val="17"/>
                <w:szCs w:val="17"/>
              </w:rPr>
            </w:pPr>
          </w:p>
        </w:tc>
      </w:tr>
      <w:tr w:rsidR="009176E3" w:rsidRPr="00F333E5" w14:paraId="3508E948" w14:textId="77777777" w:rsidTr="009176E3">
        <w:trPr>
          <w:trHeight w:val="20"/>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248D7234" w14:textId="77777777" w:rsidR="009176E3" w:rsidRPr="00F333E5" w:rsidRDefault="009176E3" w:rsidP="007A74E1">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Modificación a la NIC 40 Reclasificación de inversiones inmobiliarias (publicada en diciembre de 2016)</w:t>
            </w:r>
          </w:p>
        </w:tc>
        <w:tc>
          <w:tcPr>
            <w:tcW w:w="3751" w:type="dxa"/>
            <w:tcBorders>
              <w:top w:val="single" w:sz="4" w:space="0" w:color="auto"/>
              <w:left w:val="single" w:sz="4" w:space="0" w:color="auto"/>
              <w:bottom w:val="single" w:sz="4" w:space="0" w:color="auto"/>
              <w:right w:val="single" w:sz="4" w:space="0" w:color="auto"/>
            </w:tcBorders>
            <w:shd w:val="clear" w:color="auto" w:fill="auto"/>
          </w:tcPr>
          <w:p w14:paraId="6162F866" w14:textId="77777777" w:rsidR="009176E3" w:rsidRPr="00F333E5" w:rsidRDefault="009176E3" w:rsidP="009176E3">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La modificación clarifica que una reclasificación de una inversión desde o hacia una inversión inmobiliaria sólo está permitida cuando exista evidencia de un cambio de uso.</w:t>
            </w:r>
          </w:p>
        </w:tc>
        <w:tc>
          <w:tcPr>
            <w:tcW w:w="2406" w:type="dxa"/>
            <w:gridSpan w:val="2"/>
            <w:tcBorders>
              <w:left w:val="single" w:sz="4" w:space="0" w:color="auto"/>
              <w:right w:val="single" w:sz="4" w:space="0" w:color="auto"/>
            </w:tcBorders>
            <w:shd w:val="clear" w:color="auto" w:fill="auto"/>
            <w:vAlign w:val="center"/>
          </w:tcPr>
          <w:p w14:paraId="2CE05425" w14:textId="77777777" w:rsidR="009176E3" w:rsidRPr="00F333E5" w:rsidRDefault="009176E3" w:rsidP="007A74E1">
            <w:pPr>
              <w:keepNext/>
              <w:spacing w:after="120"/>
              <w:rPr>
                <w:rFonts w:ascii="Arial" w:eastAsia="Times" w:hAnsi="Arial" w:cs="Arial"/>
                <w:sz w:val="17"/>
                <w:szCs w:val="17"/>
              </w:rPr>
            </w:pPr>
          </w:p>
        </w:tc>
      </w:tr>
      <w:tr w:rsidR="009176E3" w:rsidRPr="00F333E5" w14:paraId="0F76BA7C" w14:textId="77777777" w:rsidTr="009176E3">
        <w:trPr>
          <w:trHeight w:val="20"/>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31EA40D4" w14:textId="77777777" w:rsidR="009176E3" w:rsidRDefault="009176E3" w:rsidP="007A74E1">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NIIF 1 Adopción por primera vez de las NIIF (publicada en diciembre de 2016)</w:t>
            </w:r>
          </w:p>
        </w:tc>
        <w:tc>
          <w:tcPr>
            <w:tcW w:w="3751" w:type="dxa"/>
            <w:tcBorders>
              <w:top w:val="single" w:sz="4" w:space="0" w:color="auto"/>
              <w:left w:val="single" w:sz="4" w:space="0" w:color="auto"/>
              <w:bottom w:val="single" w:sz="4" w:space="0" w:color="auto"/>
              <w:right w:val="single" w:sz="4" w:space="0" w:color="auto"/>
            </w:tcBorders>
            <w:shd w:val="clear" w:color="auto" w:fill="auto"/>
          </w:tcPr>
          <w:p w14:paraId="02C5DE69" w14:textId="77777777" w:rsidR="009176E3" w:rsidRDefault="00843982" w:rsidP="009176E3">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w:t>
            </w:r>
            <w:r w:rsidR="009176E3">
              <w:rPr>
                <w:rFonts w:ascii="Arial" w:eastAsia="Times" w:hAnsi="Arial" w:cs="Arial"/>
                <w:sz w:val="17"/>
                <w:szCs w:val="17"/>
              </w:rPr>
              <w:t>Eliminación de algunas exenciones a corto plazo (mejoras a la NIIF Ciclo 2014 – 2016).</w:t>
            </w:r>
          </w:p>
        </w:tc>
        <w:tc>
          <w:tcPr>
            <w:tcW w:w="2406" w:type="dxa"/>
            <w:gridSpan w:val="2"/>
            <w:tcBorders>
              <w:left w:val="single" w:sz="4" w:space="0" w:color="auto"/>
              <w:right w:val="single" w:sz="4" w:space="0" w:color="auto"/>
            </w:tcBorders>
            <w:shd w:val="clear" w:color="auto" w:fill="auto"/>
            <w:vAlign w:val="center"/>
          </w:tcPr>
          <w:p w14:paraId="7BF20A01" w14:textId="77777777" w:rsidR="009176E3" w:rsidRPr="00F333E5" w:rsidRDefault="009176E3" w:rsidP="007A74E1">
            <w:pPr>
              <w:keepNext/>
              <w:spacing w:after="120"/>
              <w:rPr>
                <w:rFonts w:ascii="Arial" w:eastAsia="Times" w:hAnsi="Arial" w:cs="Arial"/>
                <w:sz w:val="17"/>
                <w:szCs w:val="17"/>
              </w:rPr>
            </w:pPr>
          </w:p>
        </w:tc>
      </w:tr>
      <w:tr w:rsidR="009176E3" w:rsidRPr="00F333E5" w14:paraId="140668F5" w14:textId="77777777" w:rsidTr="00843982">
        <w:trPr>
          <w:trHeight w:val="20"/>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58DCE3AA" w14:textId="77777777" w:rsidR="009176E3" w:rsidRDefault="009176E3" w:rsidP="007A74E1">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NIC 28 Inversiones en entidades asociadas y negocios conjuntos (publicada en diciembre de 2016)</w:t>
            </w:r>
          </w:p>
        </w:tc>
        <w:tc>
          <w:tcPr>
            <w:tcW w:w="3751" w:type="dxa"/>
            <w:tcBorders>
              <w:top w:val="single" w:sz="4" w:space="0" w:color="auto"/>
              <w:left w:val="single" w:sz="4" w:space="0" w:color="auto"/>
              <w:bottom w:val="single" w:sz="4" w:space="0" w:color="auto"/>
              <w:right w:val="single" w:sz="4" w:space="0" w:color="auto"/>
            </w:tcBorders>
            <w:shd w:val="clear" w:color="auto" w:fill="auto"/>
          </w:tcPr>
          <w:p w14:paraId="2D16C893" w14:textId="77777777" w:rsidR="009176E3" w:rsidRDefault="00843982" w:rsidP="009176E3">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w:t>
            </w:r>
            <w:r w:rsidR="009176E3">
              <w:rPr>
                <w:rFonts w:ascii="Arial" w:eastAsia="Times" w:hAnsi="Arial" w:cs="Arial"/>
                <w:sz w:val="17"/>
                <w:szCs w:val="17"/>
              </w:rPr>
              <w:t xml:space="preserve">Clarificación en relación </w:t>
            </w:r>
            <w:r w:rsidR="00F562D3">
              <w:rPr>
                <w:rFonts w:ascii="Arial" w:eastAsia="Times" w:hAnsi="Arial" w:cs="Arial"/>
                <w:sz w:val="17"/>
                <w:szCs w:val="17"/>
              </w:rPr>
              <w:t xml:space="preserve">con la </w:t>
            </w:r>
            <w:r>
              <w:rPr>
                <w:rFonts w:ascii="Arial" w:eastAsia="Times" w:hAnsi="Arial" w:cs="Arial"/>
                <w:sz w:val="17"/>
                <w:szCs w:val="17"/>
              </w:rPr>
              <w:t>opción a valorar a valor razonable (mejoras a la NIIF Ciclo 2014 – 2016).</w:t>
            </w:r>
          </w:p>
        </w:tc>
        <w:tc>
          <w:tcPr>
            <w:tcW w:w="2406" w:type="dxa"/>
            <w:gridSpan w:val="2"/>
            <w:tcBorders>
              <w:left w:val="single" w:sz="4" w:space="0" w:color="auto"/>
              <w:right w:val="single" w:sz="4" w:space="0" w:color="auto"/>
            </w:tcBorders>
            <w:shd w:val="clear" w:color="auto" w:fill="auto"/>
            <w:vAlign w:val="center"/>
          </w:tcPr>
          <w:p w14:paraId="5E1984BF" w14:textId="77777777" w:rsidR="009176E3" w:rsidRPr="00F333E5" w:rsidRDefault="009176E3" w:rsidP="007A74E1">
            <w:pPr>
              <w:keepNext/>
              <w:spacing w:after="120"/>
              <w:rPr>
                <w:rFonts w:ascii="Arial" w:eastAsia="Times" w:hAnsi="Arial" w:cs="Arial"/>
                <w:sz w:val="17"/>
                <w:szCs w:val="17"/>
              </w:rPr>
            </w:pPr>
          </w:p>
        </w:tc>
      </w:tr>
      <w:tr w:rsidR="00843982" w:rsidRPr="00F333E5" w14:paraId="49F5DD04" w14:textId="77777777" w:rsidTr="009176E3">
        <w:trPr>
          <w:trHeight w:val="20"/>
          <w:jc w:val="center"/>
        </w:trPr>
        <w:tc>
          <w:tcPr>
            <w:tcW w:w="3935" w:type="dxa"/>
            <w:tcBorders>
              <w:top w:val="single" w:sz="4" w:space="0" w:color="auto"/>
              <w:left w:val="single" w:sz="4" w:space="0" w:color="auto"/>
              <w:bottom w:val="single" w:sz="4" w:space="0" w:color="auto"/>
              <w:right w:val="single" w:sz="4" w:space="0" w:color="auto"/>
            </w:tcBorders>
            <w:shd w:val="clear" w:color="auto" w:fill="auto"/>
          </w:tcPr>
          <w:p w14:paraId="54F5431D" w14:textId="77777777" w:rsidR="00843982" w:rsidRDefault="00843982" w:rsidP="007A74E1">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CINIIF 22 Transacciones y anticipos en moneda extranjera (publicada en diciembre de 2016)</w:t>
            </w:r>
          </w:p>
        </w:tc>
        <w:tc>
          <w:tcPr>
            <w:tcW w:w="3751" w:type="dxa"/>
            <w:tcBorders>
              <w:top w:val="single" w:sz="4" w:space="0" w:color="auto"/>
              <w:left w:val="single" w:sz="4" w:space="0" w:color="auto"/>
              <w:bottom w:val="single" w:sz="4" w:space="0" w:color="auto"/>
              <w:right w:val="single" w:sz="4" w:space="0" w:color="auto"/>
            </w:tcBorders>
            <w:shd w:val="clear" w:color="auto" w:fill="auto"/>
          </w:tcPr>
          <w:p w14:paraId="601C8DA5" w14:textId="77777777" w:rsidR="00843982" w:rsidRDefault="00843982" w:rsidP="009176E3">
            <w:pPr>
              <w:keepNext/>
              <w:spacing w:after="120"/>
              <w:ind w:left="113" w:hanging="113"/>
              <w:jc w:val="both"/>
              <w:rPr>
                <w:rFonts w:ascii="Arial" w:eastAsia="Times" w:hAnsi="Arial" w:cs="Arial"/>
                <w:sz w:val="17"/>
                <w:szCs w:val="17"/>
              </w:rPr>
            </w:pPr>
            <w:r>
              <w:rPr>
                <w:rFonts w:ascii="Arial" w:eastAsia="Times" w:hAnsi="Arial" w:cs="Arial"/>
                <w:sz w:val="17"/>
                <w:szCs w:val="17"/>
              </w:rPr>
              <w:t xml:space="preserve">  Esta interpretación establece la fecha de transacción a efectos de determinar el tipo de cambio aplicable en transacciones con anticipos en moneda extranjera.</w:t>
            </w:r>
          </w:p>
        </w:tc>
        <w:tc>
          <w:tcPr>
            <w:tcW w:w="2406" w:type="dxa"/>
            <w:gridSpan w:val="2"/>
            <w:tcBorders>
              <w:left w:val="single" w:sz="4" w:space="0" w:color="auto"/>
              <w:bottom w:val="single" w:sz="4" w:space="0" w:color="auto"/>
              <w:right w:val="single" w:sz="4" w:space="0" w:color="auto"/>
            </w:tcBorders>
            <w:shd w:val="clear" w:color="auto" w:fill="auto"/>
            <w:vAlign w:val="center"/>
          </w:tcPr>
          <w:p w14:paraId="4272D22D" w14:textId="77777777" w:rsidR="00843982" w:rsidRPr="00F333E5" w:rsidRDefault="00843982" w:rsidP="007A74E1">
            <w:pPr>
              <w:keepNext/>
              <w:spacing w:after="120"/>
              <w:rPr>
                <w:rFonts w:ascii="Arial" w:eastAsia="Times" w:hAnsi="Arial" w:cs="Arial"/>
                <w:sz w:val="17"/>
                <w:szCs w:val="17"/>
              </w:rPr>
            </w:pPr>
          </w:p>
        </w:tc>
      </w:tr>
    </w:tbl>
    <w:p w14:paraId="782CC608" w14:textId="77777777" w:rsidR="003C3452" w:rsidRDefault="003C3452"/>
    <w:p w14:paraId="68B60A1A" w14:textId="77777777" w:rsidR="00843982" w:rsidRDefault="00843982" w:rsidP="00843982">
      <w:pPr>
        <w:pStyle w:val="Ttulo6"/>
        <w:rPr>
          <w:lang w:val="es-ES_tradnl"/>
        </w:rPr>
      </w:pPr>
      <w:r>
        <w:rPr>
          <w:lang w:val="es-ES_tradnl"/>
        </w:rPr>
        <w:t>Análisis de primera aplicación de la NIIF 15</w:t>
      </w:r>
    </w:p>
    <w:p w14:paraId="2AAE888C" w14:textId="77777777" w:rsidR="00843982" w:rsidRPr="003A4F1C" w:rsidRDefault="00843982" w:rsidP="003A4F1C">
      <w:pPr>
        <w:autoSpaceDE w:val="0"/>
        <w:autoSpaceDN w:val="0"/>
        <w:adjustRightInd w:val="0"/>
        <w:spacing w:after="0" w:line="240" w:lineRule="auto"/>
        <w:ind w:left="360"/>
        <w:jc w:val="both"/>
        <w:rPr>
          <w:rFonts w:ascii="Arial" w:eastAsia="Times New Roman" w:hAnsi="Arial" w:cs="Arial"/>
          <w:sz w:val="18"/>
          <w:szCs w:val="18"/>
          <w:lang w:eastAsia="es-ES"/>
        </w:rPr>
      </w:pPr>
      <w:r w:rsidRPr="003A4F1C">
        <w:rPr>
          <w:rFonts w:ascii="Arial" w:eastAsia="Times New Roman" w:hAnsi="Arial" w:cs="Arial"/>
          <w:sz w:val="18"/>
          <w:szCs w:val="18"/>
          <w:lang w:eastAsia="es-ES"/>
        </w:rPr>
        <w:t>La NIIF 15 es la nueva norma de reconocimiento de ingresos con clientes, y sustituye normas e interpretaciones vigentes anteriormente: NIC 18 de Ingresos de actividades ordinarias, NIC 11 de Contratos de construcción, CINIIF 13 de programas de fidelización de clientes, CINIIF 15 de acuerdos para la construcción de inmuebles, CINIIF 18 de Transferencias de activos procedentes de clientes y SIC 31 de Ingresos – Permutas de servicios de publicidad.</w:t>
      </w:r>
    </w:p>
    <w:p w14:paraId="04B93B6E" w14:textId="77777777" w:rsidR="00843982" w:rsidRDefault="00843982" w:rsidP="00843982">
      <w:pPr>
        <w:autoSpaceDE w:val="0"/>
        <w:autoSpaceDN w:val="0"/>
        <w:adjustRightInd w:val="0"/>
        <w:spacing w:after="0" w:line="240" w:lineRule="auto"/>
        <w:ind w:left="360"/>
        <w:jc w:val="both"/>
        <w:rPr>
          <w:rFonts w:ascii="Arial" w:eastAsia="Times New Roman" w:hAnsi="Arial" w:cs="Arial"/>
          <w:sz w:val="18"/>
          <w:szCs w:val="18"/>
          <w:lang w:eastAsia="es-ES"/>
        </w:rPr>
      </w:pPr>
      <w:r w:rsidRPr="00843982">
        <w:rPr>
          <w:rFonts w:ascii="Arial" w:eastAsia="Times New Roman" w:hAnsi="Arial" w:cs="Arial"/>
          <w:sz w:val="18"/>
          <w:szCs w:val="18"/>
          <w:lang w:eastAsia="es-ES"/>
        </w:rPr>
        <w:lastRenderedPageBreak/>
        <w:t>El nuevo modelo de ingresos aplica a todos los contratos con clientes excepto aquellos que están dentro del alcance de otras NIIF, tales como arrendamientos, contratos de seguros e instrumentos financieros.</w:t>
      </w:r>
    </w:p>
    <w:p w14:paraId="512992E6" w14:textId="77777777" w:rsidR="00843982" w:rsidRDefault="00843982" w:rsidP="00843982">
      <w:pPr>
        <w:autoSpaceDE w:val="0"/>
        <w:autoSpaceDN w:val="0"/>
        <w:adjustRightInd w:val="0"/>
        <w:spacing w:after="0" w:line="240" w:lineRule="auto"/>
        <w:ind w:left="360"/>
        <w:jc w:val="both"/>
        <w:rPr>
          <w:rFonts w:ascii="Arial" w:eastAsia="Times New Roman" w:hAnsi="Arial" w:cs="Arial"/>
          <w:sz w:val="18"/>
          <w:szCs w:val="18"/>
          <w:lang w:eastAsia="es-ES"/>
        </w:rPr>
      </w:pPr>
    </w:p>
    <w:p w14:paraId="42F55447" w14:textId="77777777" w:rsidR="00843982" w:rsidRDefault="00843982" w:rsidP="00843982">
      <w:pPr>
        <w:autoSpaceDE w:val="0"/>
        <w:autoSpaceDN w:val="0"/>
        <w:adjustRightInd w:val="0"/>
        <w:spacing w:after="0" w:line="240" w:lineRule="auto"/>
        <w:ind w:left="360"/>
        <w:jc w:val="both"/>
        <w:rPr>
          <w:rFonts w:ascii="Arial" w:eastAsia="Times New Roman" w:hAnsi="Arial" w:cs="Arial"/>
          <w:sz w:val="18"/>
          <w:szCs w:val="18"/>
          <w:lang w:eastAsia="es-ES"/>
        </w:rPr>
      </w:pPr>
      <w:r>
        <w:rPr>
          <w:rFonts w:ascii="Arial" w:eastAsia="Times New Roman" w:hAnsi="Arial" w:cs="Arial"/>
          <w:sz w:val="18"/>
          <w:szCs w:val="18"/>
          <w:lang w:eastAsia="es-ES"/>
        </w:rPr>
        <w:t>El modelo central de reconocimiento se estructura alrededor de los siguientes cinco pasos:</w:t>
      </w:r>
    </w:p>
    <w:p w14:paraId="58AEEFA6" w14:textId="77777777" w:rsidR="00843982" w:rsidRDefault="00843982" w:rsidP="00843982">
      <w:pPr>
        <w:autoSpaceDE w:val="0"/>
        <w:autoSpaceDN w:val="0"/>
        <w:adjustRightInd w:val="0"/>
        <w:spacing w:after="0" w:line="240" w:lineRule="auto"/>
        <w:ind w:left="360"/>
        <w:jc w:val="both"/>
        <w:rPr>
          <w:rFonts w:ascii="Arial" w:eastAsia="Times New Roman" w:hAnsi="Arial" w:cs="Arial"/>
          <w:sz w:val="18"/>
          <w:szCs w:val="18"/>
          <w:lang w:eastAsia="es-ES"/>
        </w:rPr>
      </w:pPr>
    </w:p>
    <w:p w14:paraId="4A2C9490" w14:textId="77777777" w:rsidR="00625E97" w:rsidRDefault="00625E97" w:rsidP="00625E97">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Identificar el contrato con el cliente.</w:t>
      </w:r>
    </w:p>
    <w:p w14:paraId="2B4C2950" w14:textId="77777777" w:rsidR="00625E97" w:rsidRDefault="00625E97" w:rsidP="00625E97">
      <w:pPr>
        <w:autoSpaceDE w:val="0"/>
        <w:autoSpaceDN w:val="0"/>
        <w:adjustRightInd w:val="0"/>
        <w:spacing w:after="0" w:line="240" w:lineRule="auto"/>
        <w:jc w:val="both"/>
        <w:rPr>
          <w:rFonts w:ascii="Arial" w:eastAsia="Times New Roman" w:hAnsi="Arial" w:cs="Arial"/>
          <w:sz w:val="18"/>
          <w:szCs w:val="18"/>
          <w:lang w:eastAsia="es-ES"/>
        </w:rPr>
      </w:pPr>
    </w:p>
    <w:p w14:paraId="23D9A31A" w14:textId="77777777" w:rsidR="00625E97" w:rsidRDefault="00625E97" w:rsidP="00625E97">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Identificar las obligaciones separadas del contrato.</w:t>
      </w:r>
    </w:p>
    <w:p w14:paraId="6F52E965" w14:textId="77777777" w:rsidR="00625E97" w:rsidRPr="00625E97" w:rsidRDefault="00625E97" w:rsidP="00625E97">
      <w:pPr>
        <w:pStyle w:val="Prrafodelista"/>
        <w:rPr>
          <w:rFonts w:ascii="Arial" w:eastAsia="Times New Roman" w:hAnsi="Arial" w:cs="Arial"/>
          <w:sz w:val="18"/>
          <w:szCs w:val="18"/>
          <w:lang w:eastAsia="es-ES"/>
        </w:rPr>
      </w:pPr>
    </w:p>
    <w:p w14:paraId="5AD0B66F" w14:textId="77777777" w:rsidR="00625E97" w:rsidRDefault="00625E97" w:rsidP="00625E97">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Determinar el precio de la transacción.</w:t>
      </w:r>
    </w:p>
    <w:p w14:paraId="13F3AC26" w14:textId="77777777" w:rsidR="00625E97" w:rsidRPr="00625E97" w:rsidRDefault="00625E97" w:rsidP="00625E97">
      <w:pPr>
        <w:pStyle w:val="Prrafodelista"/>
        <w:rPr>
          <w:rFonts w:ascii="Arial" w:eastAsia="Times New Roman" w:hAnsi="Arial" w:cs="Arial"/>
          <w:sz w:val="18"/>
          <w:szCs w:val="18"/>
          <w:lang w:eastAsia="es-ES"/>
        </w:rPr>
      </w:pPr>
    </w:p>
    <w:p w14:paraId="061FEFE5" w14:textId="77777777" w:rsidR="00625E97" w:rsidRDefault="00625E97" w:rsidP="00625E97">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Distribuir el precio de la transacción entre las obligaciones identificadas.</w:t>
      </w:r>
    </w:p>
    <w:p w14:paraId="1242DF9D" w14:textId="77777777" w:rsidR="00625E97" w:rsidRPr="00625E97" w:rsidRDefault="00625E97" w:rsidP="00625E97">
      <w:pPr>
        <w:pStyle w:val="Prrafodelista"/>
        <w:rPr>
          <w:rFonts w:ascii="Arial" w:eastAsia="Times New Roman" w:hAnsi="Arial" w:cs="Arial"/>
          <w:sz w:val="18"/>
          <w:szCs w:val="18"/>
          <w:lang w:eastAsia="es-ES"/>
        </w:rPr>
      </w:pPr>
    </w:p>
    <w:p w14:paraId="2A893F16" w14:textId="77777777" w:rsidR="00625E97" w:rsidRDefault="00625E97" w:rsidP="00625E97">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Contabilizar los ingresos cuando se satisfacen las obligaciones.</w:t>
      </w:r>
    </w:p>
    <w:p w14:paraId="6E45F98B" w14:textId="77777777" w:rsidR="00625E97" w:rsidRPr="00625E97" w:rsidRDefault="00625E97" w:rsidP="00625E97">
      <w:pPr>
        <w:pStyle w:val="Prrafodelista"/>
        <w:rPr>
          <w:rFonts w:ascii="Arial" w:eastAsia="Times New Roman" w:hAnsi="Arial" w:cs="Arial"/>
          <w:sz w:val="18"/>
          <w:szCs w:val="18"/>
          <w:lang w:eastAsia="es-ES"/>
        </w:rPr>
      </w:pPr>
    </w:p>
    <w:p w14:paraId="0D833F70" w14:textId="77777777" w:rsidR="00625E97" w:rsidRPr="00625E97" w:rsidRDefault="00625E97" w:rsidP="00625E97">
      <w:pPr>
        <w:autoSpaceDE w:val="0"/>
        <w:autoSpaceDN w:val="0"/>
        <w:adjustRightInd w:val="0"/>
        <w:spacing w:after="0" w:line="240" w:lineRule="auto"/>
        <w:ind w:left="360"/>
        <w:jc w:val="both"/>
        <w:rPr>
          <w:rFonts w:ascii="Arial" w:eastAsia="Times New Roman" w:hAnsi="Arial" w:cs="Arial"/>
          <w:sz w:val="18"/>
          <w:szCs w:val="18"/>
          <w:lang w:eastAsia="es-ES"/>
        </w:rPr>
      </w:pPr>
      <w:r>
        <w:rPr>
          <w:rFonts w:ascii="Arial" w:eastAsia="Times New Roman" w:hAnsi="Arial" w:cs="Arial"/>
          <w:sz w:val="18"/>
          <w:szCs w:val="18"/>
          <w:lang w:eastAsia="es-ES"/>
        </w:rPr>
        <w:t xml:space="preserve">Para el tipo de actividad efectuada por el Grupo, así como las relaciones con sus clientes, los </w:t>
      </w:r>
      <w:r w:rsidR="001624EA">
        <w:rPr>
          <w:rFonts w:ascii="Arial" w:eastAsia="Times New Roman" w:hAnsi="Arial" w:cs="Arial"/>
          <w:sz w:val="18"/>
          <w:szCs w:val="18"/>
          <w:lang w:eastAsia="es-ES"/>
        </w:rPr>
        <w:t>Administradores de la Sociedad d</w:t>
      </w:r>
      <w:r>
        <w:rPr>
          <w:rFonts w:ascii="Arial" w:eastAsia="Times New Roman" w:hAnsi="Arial" w:cs="Arial"/>
          <w:sz w:val="18"/>
          <w:szCs w:val="18"/>
          <w:lang w:eastAsia="es-ES"/>
        </w:rPr>
        <w:t>ominante estiman que de su aplicación no se han derivado cambios significativos en relación con el registro actual de las operaciones del Grupo.</w:t>
      </w:r>
    </w:p>
    <w:p w14:paraId="7F255B90" w14:textId="77777777" w:rsidR="00843982" w:rsidRPr="00843982" w:rsidRDefault="00843982" w:rsidP="00F34A7A">
      <w:pPr>
        <w:autoSpaceDE w:val="0"/>
        <w:autoSpaceDN w:val="0"/>
        <w:adjustRightInd w:val="0"/>
        <w:spacing w:after="0" w:line="240" w:lineRule="auto"/>
        <w:jc w:val="both"/>
        <w:rPr>
          <w:rFonts w:ascii="Arial" w:eastAsia="Times New Roman" w:hAnsi="Arial" w:cs="Arial"/>
          <w:sz w:val="18"/>
          <w:szCs w:val="18"/>
          <w:lang w:eastAsia="es-ES"/>
        </w:rPr>
      </w:pPr>
    </w:p>
    <w:p w14:paraId="5736A623" w14:textId="77777777" w:rsidR="003A4F1C" w:rsidRDefault="003A4F1C" w:rsidP="003A4F1C">
      <w:pPr>
        <w:pStyle w:val="Ttulo6"/>
        <w:rPr>
          <w:lang w:val="es-ES_tradnl"/>
        </w:rPr>
      </w:pPr>
      <w:r>
        <w:rPr>
          <w:lang w:val="es-ES_tradnl"/>
        </w:rPr>
        <w:t>Análisis de primera aplicación de la NIIF 9</w:t>
      </w:r>
    </w:p>
    <w:p w14:paraId="66906C3F" w14:textId="77777777" w:rsidR="003A4F1C" w:rsidRDefault="003A4F1C" w:rsidP="003A4F1C">
      <w:pPr>
        <w:autoSpaceDE w:val="0"/>
        <w:autoSpaceDN w:val="0"/>
        <w:adjustRightInd w:val="0"/>
        <w:spacing w:after="0" w:line="240" w:lineRule="auto"/>
        <w:ind w:left="360"/>
        <w:jc w:val="both"/>
        <w:rPr>
          <w:rFonts w:ascii="Arial" w:eastAsia="Times New Roman" w:hAnsi="Arial" w:cs="Arial"/>
          <w:sz w:val="18"/>
          <w:szCs w:val="18"/>
          <w:lang w:eastAsia="es-ES"/>
        </w:rPr>
      </w:pPr>
      <w:r w:rsidRPr="003A4F1C">
        <w:rPr>
          <w:rFonts w:ascii="Arial" w:eastAsia="Times New Roman" w:hAnsi="Arial" w:cs="Arial"/>
          <w:sz w:val="18"/>
          <w:szCs w:val="18"/>
          <w:lang w:eastAsia="es-ES"/>
        </w:rPr>
        <w:t>La NIIF 9 sustituye a partir del ejercicio anual iniciado el 1 de enero de 2018 a la NIC 39 y afecta tanto a instrumentos financieros de activo como de pasivo, cubriendo tres grandes bloques: clasificación y medición, deterioro de valor y contabilidad de coberturas. Existen diferencias relevantes con la norma actual de reconocimiento y medición de los instrumentos financieros, siendo las más significativas:</w:t>
      </w:r>
    </w:p>
    <w:p w14:paraId="4D959D6E" w14:textId="77777777" w:rsidR="003A4F1C" w:rsidRPr="003A4F1C" w:rsidRDefault="003A4F1C" w:rsidP="003A4F1C">
      <w:pPr>
        <w:autoSpaceDE w:val="0"/>
        <w:autoSpaceDN w:val="0"/>
        <w:adjustRightInd w:val="0"/>
        <w:spacing w:after="0" w:line="240" w:lineRule="auto"/>
        <w:jc w:val="both"/>
        <w:rPr>
          <w:rFonts w:ascii="Arial" w:eastAsia="Times New Roman" w:hAnsi="Arial" w:cs="Arial"/>
          <w:sz w:val="18"/>
          <w:szCs w:val="18"/>
          <w:lang w:eastAsia="es-ES"/>
        </w:rPr>
      </w:pPr>
    </w:p>
    <w:p w14:paraId="7FC5580E" w14:textId="77777777" w:rsidR="003A4F1C" w:rsidRDefault="003A4F1C" w:rsidP="003A4F1C">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sidRPr="003A4F1C">
        <w:rPr>
          <w:rFonts w:ascii="Arial" w:eastAsia="Times New Roman" w:hAnsi="Arial" w:cs="Arial"/>
          <w:sz w:val="18"/>
          <w:szCs w:val="18"/>
          <w:lang w:eastAsia="es-ES"/>
        </w:rPr>
        <w:t xml:space="preserve">Las inversiones en activos financieros cuyos flujos de caja contractuales consistan exclusivamente en pagos de principal de intereses y a su vez el modelo de gestión de dichos activos sea mantenerlos para la obtención de los flujos contractuales, en general, se valorarán a coste amortizado. Para los mismos activos, cuando el modelo de negocio sea la obtención de los flujos contractuales y la venta de activos, se medirán a su valor razonable con cambios en otro resultado integral. Todos los demás activos financieros que no consistan exclusivamente en el pago de principal e interés y el modelo de gestión sea la venta de </w:t>
      </w:r>
      <w:proofErr w:type="gramStart"/>
      <w:r w:rsidRPr="003A4F1C">
        <w:rPr>
          <w:rFonts w:ascii="Arial" w:eastAsia="Times New Roman" w:hAnsi="Arial" w:cs="Arial"/>
          <w:sz w:val="18"/>
          <w:szCs w:val="18"/>
          <w:lang w:eastAsia="es-ES"/>
        </w:rPr>
        <w:t>los mismos</w:t>
      </w:r>
      <w:proofErr w:type="gramEnd"/>
      <w:r w:rsidRPr="003A4F1C">
        <w:rPr>
          <w:rFonts w:ascii="Arial" w:eastAsia="Times New Roman" w:hAnsi="Arial" w:cs="Arial"/>
          <w:sz w:val="18"/>
          <w:szCs w:val="18"/>
          <w:lang w:eastAsia="es-ES"/>
        </w:rPr>
        <w:t xml:space="preserve"> se medirán a su valor razonable con cambios en pérdidas y ganancias. Sin embargo, el Grupo puede optar irrevocablemente por presentar en “Otro resultado global” (patrimonio neto) los cambios posteriores en el valor razonable de determinadas inversiones en instrumentos de patrimonio y, en general, en este caso solo los dividendos se reconocerán posteriormente en el resultado.</w:t>
      </w:r>
    </w:p>
    <w:p w14:paraId="50CFFBC8" w14:textId="77777777" w:rsidR="003A4F1C" w:rsidRPr="003A4F1C" w:rsidRDefault="003A4F1C" w:rsidP="003A4F1C">
      <w:pPr>
        <w:pStyle w:val="Prrafodelista"/>
        <w:autoSpaceDE w:val="0"/>
        <w:autoSpaceDN w:val="0"/>
        <w:adjustRightInd w:val="0"/>
        <w:spacing w:after="0" w:line="240" w:lineRule="auto"/>
        <w:ind w:left="1080"/>
        <w:jc w:val="both"/>
        <w:rPr>
          <w:rFonts w:ascii="Arial" w:eastAsia="Times New Roman" w:hAnsi="Arial" w:cs="Arial"/>
          <w:sz w:val="18"/>
          <w:szCs w:val="18"/>
          <w:lang w:eastAsia="es-ES"/>
        </w:rPr>
      </w:pPr>
    </w:p>
    <w:p w14:paraId="55FB1AAC" w14:textId="77777777" w:rsidR="003A4F1C" w:rsidRDefault="003A4F1C" w:rsidP="003A4F1C">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sidRPr="003A4F1C">
        <w:rPr>
          <w:rFonts w:ascii="Arial" w:eastAsia="Times New Roman" w:hAnsi="Arial" w:cs="Arial"/>
          <w:sz w:val="18"/>
          <w:szCs w:val="18"/>
          <w:lang w:eastAsia="es-ES"/>
        </w:rPr>
        <w:t xml:space="preserve">Con respecto a la valoración de los pasivos financieros designados opcionalmente en la categoría de valor razonable con cambios en resultados, el importe del cambio en el valor razonable del pasivo financiero que sea atribuible a cambios en el riesgo propio de crédito deberá presentarse en “Otro resultado integral” (patrimonio neto), a menos que esto cree o aumente una </w:t>
      </w:r>
      <w:proofErr w:type="gramStart"/>
      <w:r w:rsidRPr="003A4F1C">
        <w:rPr>
          <w:rFonts w:ascii="Arial" w:eastAsia="Times New Roman" w:hAnsi="Arial" w:cs="Arial"/>
          <w:sz w:val="18"/>
          <w:szCs w:val="18"/>
          <w:lang w:eastAsia="es-ES"/>
        </w:rPr>
        <w:t>asimetría  contable</w:t>
      </w:r>
      <w:proofErr w:type="gramEnd"/>
      <w:r w:rsidRPr="003A4F1C">
        <w:rPr>
          <w:rFonts w:ascii="Arial" w:eastAsia="Times New Roman" w:hAnsi="Arial" w:cs="Arial"/>
          <w:sz w:val="18"/>
          <w:szCs w:val="18"/>
          <w:lang w:eastAsia="es-ES"/>
        </w:rPr>
        <w:t xml:space="preserve"> en el resultado, y no se reclasificará posteriormente a la cuenta de pérdidas y ganancias.</w:t>
      </w:r>
    </w:p>
    <w:p w14:paraId="1D3B0B5C" w14:textId="77777777" w:rsidR="003A4F1C" w:rsidRPr="003A4F1C" w:rsidRDefault="003A4F1C" w:rsidP="003A4F1C">
      <w:pPr>
        <w:autoSpaceDE w:val="0"/>
        <w:autoSpaceDN w:val="0"/>
        <w:adjustRightInd w:val="0"/>
        <w:spacing w:after="0" w:line="240" w:lineRule="auto"/>
        <w:jc w:val="both"/>
        <w:rPr>
          <w:rFonts w:ascii="Arial" w:eastAsia="Times New Roman" w:hAnsi="Arial" w:cs="Arial"/>
          <w:sz w:val="18"/>
          <w:szCs w:val="18"/>
          <w:lang w:eastAsia="es-ES"/>
        </w:rPr>
      </w:pPr>
    </w:p>
    <w:p w14:paraId="7D2F77D9" w14:textId="77777777" w:rsidR="003A4F1C" w:rsidRDefault="003A4F1C" w:rsidP="003A4F1C">
      <w:pPr>
        <w:pStyle w:val="Prrafodelista"/>
        <w:numPr>
          <w:ilvl w:val="0"/>
          <w:numId w:val="1"/>
        </w:numPr>
        <w:autoSpaceDE w:val="0"/>
        <w:autoSpaceDN w:val="0"/>
        <w:adjustRightInd w:val="0"/>
        <w:spacing w:after="0" w:line="240" w:lineRule="auto"/>
        <w:jc w:val="both"/>
        <w:rPr>
          <w:rFonts w:ascii="Arial" w:eastAsia="Times New Roman" w:hAnsi="Arial" w:cs="Arial"/>
          <w:sz w:val="18"/>
          <w:szCs w:val="18"/>
          <w:lang w:eastAsia="es-ES"/>
        </w:rPr>
      </w:pPr>
      <w:r w:rsidRPr="003A4F1C">
        <w:rPr>
          <w:rFonts w:ascii="Arial" w:eastAsia="Times New Roman" w:hAnsi="Arial" w:cs="Arial"/>
          <w:sz w:val="18"/>
          <w:szCs w:val="18"/>
          <w:lang w:eastAsia="es-ES"/>
        </w:rPr>
        <w:t>En relación con el deterioro de valor de los activos financieros, NIIF 9 requiere la aplicación de un modelo basado en la pérdida esperada, frente al modelo de la NIC 39 estructurado sobre la pérdida incurrida. Bajo dicho modelo el Grupo contabilizará la pérdida esperada, así como los cambios en esta a cada fecha de presentación, para reflejar los cambios en el riesgo de crédito desde la fecha de reconocimiento inicial. En otras palabras, ya no es necesario que se produzca un evento de deterioro antes de reconocer una pérdida crediticia.</w:t>
      </w:r>
    </w:p>
    <w:p w14:paraId="2115BF36" w14:textId="77777777" w:rsidR="00AC3353" w:rsidRPr="00AC3353" w:rsidRDefault="00AC3353" w:rsidP="00AC3353">
      <w:pPr>
        <w:pStyle w:val="Prrafodelista"/>
        <w:rPr>
          <w:rFonts w:ascii="Arial" w:eastAsia="Times New Roman" w:hAnsi="Arial" w:cs="Arial"/>
          <w:sz w:val="18"/>
          <w:szCs w:val="18"/>
          <w:lang w:eastAsia="es-ES"/>
        </w:rPr>
      </w:pPr>
    </w:p>
    <w:p w14:paraId="5A554C5D" w14:textId="77777777" w:rsidR="00AC3353" w:rsidRPr="00AC3353" w:rsidRDefault="00AC3353" w:rsidP="00AC3353">
      <w:p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 xml:space="preserve">Al </w:t>
      </w:r>
      <w:r w:rsidR="0014094C">
        <w:rPr>
          <w:rFonts w:ascii="Arial" w:eastAsia="Times New Roman" w:hAnsi="Arial" w:cs="Arial"/>
          <w:sz w:val="18"/>
          <w:szCs w:val="18"/>
          <w:lang w:eastAsia="es-ES"/>
        </w:rPr>
        <w:t>30 de j</w:t>
      </w:r>
      <w:r>
        <w:rPr>
          <w:rFonts w:ascii="Arial" w:eastAsia="Times New Roman" w:hAnsi="Arial" w:cs="Arial"/>
          <w:sz w:val="18"/>
          <w:szCs w:val="18"/>
          <w:lang w:eastAsia="es-ES"/>
        </w:rPr>
        <w:t xml:space="preserve">unio de 2018, la dirección del Grupo está en proceso de </w:t>
      </w:r>
      <w:r w:rsidR="0014094C">
        <w:rPr>
          <w:rFonts w:ascii="Arial" w:eastAsia="Times New Roman" w:hAnsi="Arial" w:cs="Arial"/>
          <w:sz w:val="18"/>
          <w:szCs w:val="18"/>
          <w:lang w:eastAsia="es-ES"/>
        </w:rPr>
        <w:t>evaluación de la NIIF 9 sobre los estados financieros consolidados</w:t>
      </w:r>
      <w:r>
        <w:rPr>
          <w:rFonts w:ascii="Arial" w:eastAsia="Times New Roman" w:hAnsi="Arial" w:cs="Arial"/>
          <w:sz w:val="18"/>
          <w:szCs w:val="18"/>
          <w:lang w:eastAsia="es-ES"/>
        </w:rPr>
        <w:t>, proceso que culminará una vez finalice el proceso relativo a la deuda financiera del Gru</w:t>
      </w:r>
      <w:r w:rsidR="0014094C">
        <w:rPr>
          <w:rFonts w:ascii="Arial" w:eastAsia="Times New Roman" w:hAnsi="Arial" w:cs="Arial"/>
          <w:sz w:val="18"/>
          <w:szCs w:val="18"/>
          <w:lang w:eastAsia="es-ES"/>
        </w:rPr>
        <w:t>po, tal y como se recoge en la N</w:t>
      </w:r>
      <w:r>
        <w:rPr>
          <w:rFonts w:ascii="Arial" w:eastAsia="Times New Roman" w:hAnsi="Arial" w:cs="Arial"/>
          <w:sz w:val="18"/>
          <w:szCs w:val="18"/>
          <w:lang w:eastAsia="es-ES"/>
        </w:rPr>
        <w:t>ota 10 de Hechos Poste</w:t>
      </w:r>
      <w:r w:rsidR="0014094C">
        <w:rPr>
          <w:rFonts w:ascii="Arial" w:eastAsia="Times New Roman" w:hAnsi="Arial" w:cs="Arial"/>
          <w:sz w:val="18"/>
          <w:szCs w:val="18"/>
          <w:lang w:eastAsia="es-ES"/>
        </w:rPr>
        <w:t>riores al Cierre.</w:t>
      </w:r>
    </w:p>
    <w:p w14:paraId="155F6C25" w14:textId="77777777" w:rsidR="00AC3353" w:rsidRPr="003A4F1C" w:rsidRDefault="00AC3353" w:rsidP="00AC3353">
      <w:pPr>
        <w:pStyle w:val="Prrafodelista"/>
        <w:autoSpaceDE w:val="0"/>
        <w:autoSpaceDN w:val="0"/>
        <w:adjustRightInd w:val="0"/>
        <w:spacing w:after="0" w:line="240" w:lineRule="auto"/>
        <w:ind w:left="1080"/>
        <w:jc w:val="both"/>
        <w:rPr>
          <w:rFonts w:ascii="Arial" w:eastAsia="Times New Roman" w:hAnsi="Arial" w:cs="Arial"/>
          <w:sz w:val="18"/>
          <w:szCs w:val="18"/>
          <w:lang w:eastAsia="es-ES"/>
        </w:rPr>
      </w:pPr>
    </w:p>
    <w:p w14:paraId="08C4918D" w14:textId="77777777" w:rsidR="00C65296" w:rsidRDefault="00C65296" w:rsidP="001F7AD7">
      <w:pPr>
        <w:autoSpaceDE w:val="0"/>
        <w:autoSpaceDN w:val="0"/>
        <w:adjustRightInd w:val="0"/>
        <w:spacing w:after="0" w:line="240" w:lineRule="auto"/>
        <w:ind w:left="360"/>
        <w:jc w:val="both"/>
        <w:rPr>
          <w:rFonts w:ascii="Arial" w:eastAsia="Times New Roman" w:hAnsi="Arial" w:cs="Arial"/>
          <w:sz w:val="18"/>
          <w:szCs w:val="18"/>
          <w:lang w:eastAsia="es-ES"/>
        </w:rPr>
      </w:pPr>
    </w:p>
    <w:p w14:paraId="781073FC" w14:textId="77777777" w:rsidR="00C65296" w:rsidRDefault="00C65296" w:rsidP="00C65296">
      <w:pPr>
        <w:jc w:val="both"/>
        <w:rPr>
          <w:rFonts w:ascii="Arial" w:hAnsi="Arial" w:cs="Arial"/>
          <w:sz w:val="18"/>
          <w:szCs w:val="18"/>
        </w:rPr>
      </w:pPr>
      <w:r>
        <w:rPr>
          <w:rFonts w:ascii="Arial" w:eastAsia="Times New Roman" w:hAnsi="Arial" w:cs="Arial"/>
          <w:b/>
          <w:color w:val="000000"/>
          <w:sz w:val="18"/>
          <w:szCs w:val="18"/>
          <w:lang w:eastAsia="es-ES"/>
        </w:rPr>
        <w:t>3</w:t>
      </w:r>
      <w:r w:rsidRPr="00463E9C">
        <w:rPr>
          <w:rFonts w:ascii="Arial" w:eastAsia="Times New Roman" w:hAnsi="Arial" w:cs="Arial"/>
          <w:b/>
          <w:color w:val="000000"/>
          <w:sz w:val="18"/>
          <w:szCs w:val="18"/>
          <w:lang w:eastAsia="es-ES"/>
        </w:rPr>
        <w:t xml:space="preserve">.- </w:t>
      </w:r>
      <w:r>
        <w:rPr>
          <w:rFonts w:ascii="Arial" w:eastAsia="Times New Roman" w:hAnsi="Arial" w:cs="Arial"/>
          <w:b/>
          <w:color w:val="000000"/>
          <w:sz w:val="18"/>
          <w:szCs w:val="18"/>
          <w:lang w:eastAsia="es-ES"/>
        </w:rPr>
        <w:t>Principio de empresa en funcionamiento</w:t>
      </w:r>
    </w:p>
    <w:p w14:paraId="2A3E795E" w14:textId="6FF7182A" w:rsidR="00C65296" w:rsidRPr="001624EA" w:rsidRDefault="00C65296" w:rsidP="001624EA">
      <w:pPr>
        <w:autoSpaceDE w:val="0"/>
        <w:autoSpaceDN w:val="0"/>
        <w:adjustRightInd w:val="0"/>
        <w:spacing w:after="0" w:line="240" w:lineRule="auto"/>
        <w:jc w:val="both"/>
        <w:rPr>
          <w:rFonts w:ascii="Arial" w:eastAsia="Times New Roman" w:hAnsi="Arial" w:cs="Arial"/>
          <w:sz w:val="18"/>
          <w:szCs w:val="18"/>
          <w:lang w:eastAsia="es-ES"/>
        </w:rPr>
      </w:pPr>
      <w:r w:rsidRPr="001624EA">
        <w:rPr>
          <w:rFonts w:ascii="Arial" w:eastAsia="Times New Roman" w:hAnsi="Arial" w:cs="Arial"/>
          <w:sz w:val="18"/>
          <w:szCs w:val="18"/>
          <w:lang w:eastAsia="es-ES"/>
        </w:rPr>
        <w:t>El informe de auditoría de las cuentas anuales</w:t>
      </w:r>
      <w:r w:rsidR="0004374C" w:rsidRPr="001624EA">
        <w:rPr>
          <w:rFonts w:ascii="Arial" w:eastAsia="Times New Roman" w:hAnsi="Arial" w:cs="Arial"/>
          <w:sz w:val="18"/>
          <w:szCs w:val="18"/>
          <w:lang w:eastAsia="es-ES"/>
        </w:rPr>
        <w:t xml:space="preserve"> consolidadas del ejercicio 2017</w:t>
      </w:r>
      <w:r w:rsidRPr="001624EA">
        <w:rPr>
          <w:rFonts w:ascii="Arial" w:eastAsia="Times New Roman" w:hAnsi="Arial" w:cs="Arial"/>
          <w:sz w:val="18"/>
          <w:szCs w:val="18"/>
          <w:lang w:eastAsia="es-ES"/>
        </w:rPr>
        <w:t xml:space="preserve"> recogía </w:t>
      </w:r>
      <w:r w:rsidR="0004374C" w:rsidRPr="001624EA">
        <w:rPr>
          <w:rFonts w:ascii="Arial" w:eastAsia="Times New Roman" w:hAnsi="Arial" w:cs="Arial"/>
          <w:sz w:val="18"/>
          <w:szCs w:val="18"/>
          <w:lang w:eastAsia="es-ES"/>
        </w:rPr>
        <w:t xml:space="preserve">una opinión </w:t>
      </w:r>
      <w:r w:rsidR="004C0D8E">
        <w:rPr>
          <w:rFonts w:ascii="Arial" w:eastAsia="Times New Roman" w:hAnsi="Arial" w:cs="Arial"/>
          <w:sz w:val="18"/>
          <w:szCs w:val="18"/>
          <w:lang w:eastAsia="es-ES"/>
        </w:rPr>
        <w:t>sin salvedades</w:t>
      </w:r>
      <w:r w:rsidR="0004374C" w:rsidRPr="001624EA">
        <w:rPr>
          <w:rFonts w:ascii="Arial" w:eastAsia="Times New Roman" w:hAnsi="Arial" w:cs="Arial"/>
          <w:sz w:val="18"/>
          <w:szCs w:val="18"/>
          <w:lang w:eastAsia="es-ES"/>
        </w:rPr>
        <w:t>.</w:t>
      </w:r>
      <w:r w:rsidR="0014094C" w:rsidRPr="001624EA">
        <w:rPr>
          <w:rFonts w:ascii="Arial" w:eastAsia="Times New Roman" w:hAnsi="Arial" w:cs="Arial"/>
          <w:sz w:val="18"/>
          <w:szCs w:val="18"/>
          <w:lang w:eastAsia="es-ES"/>
        </w:rPr>
        <w:t xml:space="preserve"> Los Administradores de la Sociedad dominante han aprobado los estados financieros consolidados intermedios correspondientes al periodo terminado el 30 de junio de 2018 sobre la base del principio de empresa en funcionamiento.</w:t>
      </w:r>
    </w:p>
    <w:p w14:paraId="39C2D780" w14:textId="77777777" w:rsidR="0004374C" w:rsidRDefault="0004374C" w:rsidP="00C65296">
      <w:pPr>
        <w:jc w:val="both"/>
        <w:rPr>
          <w:rFonts w:ascii="Arial" w:eastAsia="Times New Roman" w:hAnsi="Arial" w:cs="Arial"/>
          <w:b/>
          <w:color w:val="000000"/>
          <w:sz w:val="18"/>
          <w:szCs w:val="18"/>
          <w:lang w:eastAsia="es-ES"/>
        </w:rPr>
      </w:pPr>
    </w:p>
    <w:p w14:paraId="02D226DD" w14:textId="77777777" w:rsidR="00C65296" w:rsidRDefault="00C65296" w:rsidP="00C65296">
      <w:pPr>
        <w:jc w:val="both"/>
        <w:rPr>
          <w:rFonts w:ascii="Arial" w:hAnsi="Arial" w:cs="Arial"/>
          <w:sz w:val="18"/>
          <w:szCs w:val="18"/>
        </w:rPr>
      </w:pPr>
      <w:r>
        <w:rPr>
          <w:rFonts w:ascii="Arial" w:eastAsia="Times New Roman" w:hAnsi="Arial" w:cs="Arial"/>
          <w:b/>
          <w:color w:val="000000"/>
          <w:sz w:val="18"/>
          <w:szCs w:val="18"/>
          <w:lang w:eastAsia="es-ES"/>
        </w:rPr>
        <w:lastRenderedPageBreak/>
        <w:t>4</w:t>
      </w:r>
      <w:r w:rsidRPr="00463E9C">
        <w:rPr>
          <w:rFonts w:ascii="Arial" w:eastAsia="Times New Roman" w:hAnsi="Arial" w:cs="Arial"/>
          <w:b/>
          <w:color w:val="000000"/>
          <w:sz w:val="18"/>
          <w:szCs w:val="18"/>
          <w:lang w:eastAsia="es-ES"/>
        </w:rPr>
        <w:t xml:space="preserve">.- </w:t>
      </w:r>
      <w:r>
        <w:rPr>
          <w:rFonts w:ascii="Arial" w:eastAsia="Times New Roman" w:hAnsi="Arial" w:cs="Arial"/>
          <w:b/>
          <w:color w:val="000000"/>
          <w:sz w:val="18"/>
          <w:szCs w:val="18"/>
          <w:lang w:eastAsia="es-ES"/>
        </w:rPr>
        <w:t>Corrección de errores</w:t>
      </w:r>
    </w:p>
    <w:p w14:paraId="5329AC33" w14:textId="77777777" w:rsidR="001624EA" w:rsidRDefault="00C65296" w:rsidP="001624EA">
      <w:pPr>
        <w:autoSpaceDE w:val="0"/>
        <w:autoSpaceDN w:val="0"/>
        <w:adjustRightInd w:val="0"/>
        <w:spacing w:after="0" w:line="240" w:lineRule="auto"/>
        <w:jc w:val="both"/>
        <w:rPr>
          <w:rFonts w:ascii="Arial" w:eastAsia="Times New Roman" w:hAnsi="Arial" w:cs="Arial"/>
          <w:sz w:val="18"/>
          <w:szCs w:val="18"/>
          <w:lang w:eastAsia="es-ES"/>
        </w:rPr>
      </w:pPr>
      <w:r w:rsidRPr="001624EA">
        <w:rPr>
          <w:rFonts w:ascii="Arial" w:eastAsia="Times New Roman" w:hAnsi="Arial" w:cs="Arial"/>
          <w:sz w:val="18"/>
          <w:szCs w:val="18"/>
          <w:lang w:eastAsia="es-ES"/>
        </w:rPr>
        <w:t>Durante el pr</w:t>
      </w:r>
      <w:r w:rsidR="0004374C" w:rsidRPr="001624EA">
        <w:rPr>
          <w:rFonts w:ascii="Arial" w:eastAsia="Times New Roman" w:hAnsi="Arial" w:cs="Arial"/>
          <w:sz w:val="18"/>
          <w:szCs w:val="18"/>
          <w:lang w:eastAsia="es-ES"/>
        </w:rPr>
        <w:t>imer semestre del ejercicio 2018</w:t>
      </w:r>
      <w:r w:rsidRPr="001624EA">
        <w:rPr>
          <w:rFonts w:ascii="Arial" w:eastAsia="Times New Roman" w:hAnsi="Arial" w:cs="Arial"/>
          <w:sz w:val="18"/>
          <w:szCs w:val="18"/>
          <w:lang w:eastAsia="es-ES"/>
        </w:rPr>
        <w:t xml:space="preserve"> no se han puesto de manifiesto errores significativos respecto al cierre de ejercicios anteriores que requiriesen corrección.</w:t>
      </w:r>
    </w:p>
    <w:p w14:paraId="00BFF80D" w14:textId="77777777" w:rsidR="001624EA" w:rsidRPr="001624EA" w:rsidRDefault="001624EA" w:rsidP="001624EA">
      <w:pPr>
        <w:autoSpaceDE w:val="0"/>
        <w:autoSpaceDN w:val="0"/>
        <w:adjustRightInd w:val="0"/>
        <w:spacing w:after="0" w:line="240" w:lineRule="auto"/>
        <w:jc w:val="both"/>
        <w:rPr>
          <w:rFonts w:ascii="Arial" w:eastAsia="Times New Roman" w:hAnsi="Arial" w:cs="Arial"/>
          <w:sz w:val="18"/>
          <w:szCs w:val="18"/>
          <w:lang w:eastAsia="es-ES"/>
        </w:rPr>
      </w:pPr>
    </w:p>
    <w:p w14:paraId="5F9BB4D5" w14:textId="77777777" w:rsidR="00C65296" w:rsidRPr="00453CCB" w:rsidRDefault="00C65296" w:rsidP="00C65296">
      <w:pPr>
        <w:jc w:val="both"/>
        <w:rPr>
          <w:rFonts w:ascii="Arial" w:hAnsi="Arial" w:cs="Arial"/>
          <w:b/>
          <w:sz w:val="18"/>
          <w:szCs w:val="18"/>
        </w:rPr>
      </w:pPr>
      <w:r>
        <w:rPr>
          <w:rFonts w:ascii="Arial" w:hAnsi="Arial" w:cs="Arial"/>
          <w:b/>
          <w:sz w:val="18"/>
          <w:szCs w:val="18"/>
        </w:rPr>
        <w:t>5</w:t>
      </w:r>
      <w:r w:rsidRPr="00453CCB">
        <w:rPr>
          <w:rFonts w:ascii="Arial" w:hAnsi="Arial" w:cs="Arial"/>
          <w:b/>
          <w:sz w:val="18"/>
          <w:szCs w:val="18"/>
        </w:rPr>
        <w:t xml:space="preserve">.- </w:t>
      </w:r>
      <w:r w:rsidRPr="00836737">
        <w:rPr>
          <w:rFonts w:ascii="Arial" w:hAnsi="Arial"/>
          <w:b/>
          <w:sz w:val="18"/>
        </w:rPr>
        <w:t>Activos y pasivos contingentes</w:t>
      </w:r>
    </w:p>
    <w:p w14:paraId="73752C5D" w14:textId="77777777" w:rsidR="004C0D8E" w:rsidRDefault="0004374C" w:rsidP="001624EA">
      <w:pPr>
        <w:autoSpaceDE w:val="0"/>
        <w:autoSpaceDN w:val="0"/>
        <w:adjustRightInd w:val="0"/>
        <w:spacing w:after="0" w:line="240" w:lineRule="auto"/>
        <w:jc w:val="both"/>
        <w:rPr>
          <w:rFonts w:ascii="Arial" w:eastAsia="Times New Roman" w:hAnsi="Arial" w:cs="Arial"/>
          <w:sz w:val="18"/>
          <w:szCs w:val="18"/>
          <w:lang w:eastAsia="es-ES"/>
        </w:rPr>
      </w:pPr>
      <w:r w:rsidRPr="001624EA">
        <w:rPr>
          <w:rFonts w:ascii="Arial" w:eastAsia="Times New Roman" w:hAnsi="Arial" w:cs="Arial"/>
          <w:sz w:val="18"/>
          <w:szCs w:val="18"/>
          <w:lang w:eastAsia="es-ES"/>
        </w:rPr>
        <w:t>En la nota 19</w:t>
      </w:r>
      <w:r w:rsidR="00C65296" w:rsidRPr="001624EA">
        <w:rPr>
          <w:rFonts w:ascii="Arial" w:eastAsia="Times New Roman" w:hAnsi="Arial" w:cs="Arial"/>
          <w:sz w:val="18"/>
          <w:szCs w:val="18"/>
          <w:lang w:eastAsia="es-ES"/>
        </w:rPr>
        <w:t xml:space="preserve"> de la memoria de las Cuentas Anuales Consolidadas del Grupo correspondientes al ejercicio anual term</w:t>
      </w:r>
      <w:r w:rsidRPr="001624EA">
        <w:rPr>
          <w:rFonts w:ascii="Arial" w:eastAsia="Times New Roman" w:hAnsi="Arial" w:cs="Arial"/>
          <w:sz w:val="18"/>
          <w:szCs w:val="18"/>
          <w:lang w:eastAsia="es-ES"/>
        </w:rPr>
        <w:t>inado el 31 de diciembre de 2017</w:t>
      </w:r>
      <w:r w:rsidR="00C65296" w:rsidRPr="001624EA">
        <w:rPr>
          <w:rFonts w:ascii="Arial" w:eastAsia="Times New Roman" w:hAnsi="Arial" w:cs="Arial"/>
          <w:sz w:val="18"/>
          <w:szCs w:val="18"/>
          <w:lang w:eastAsia="es-ES"/>
        </w:rPr>
        <w:t xml:space="preserve">, se facilita información sobre los activos y pasivos contingentes a dicha fecha. </w:t>
      </w:r>
    </w:p>
    <w:p w14:paraId="7133E10C" w14:textId="77777777" w:rsidR="004C0D8E" w:rsidRDefault="004C0D8E" w:rsidP="001624EA">
      <w:pPr>
        <w:autoSpaceDE w:val="0"/>
        <w:autoSpaceDN w:val="0"/>
        <w:adjustRightInd w:val="0"/>
        <w:spacing w:after="0" w:line="240" w:lineRule="auto"/>
        <w:jc w:val="both"/>
        <w:rPr>
          <w:rFonts w:ascii="Arial" w:eastAsia="Times New Roman" w:hAnsi="Arial" w:cs="Arial"/>
          <w:sz w:val="18"/>
          <w:szCs w:val="18"/>
          <w:lang w:eastAsia="es-ES"/>
        </w:rPr>
      </w:pPr>
    </w:p>
    <w:p w14:paraId="6E4D6D89" w14:textId="35694F4C" w:rsidR="00C65296" w:rsidRDefault="00E95A91" w:rsidP="001624EA">
      <w:pPr>
        <w:autoSpaceDE w:val="0"/>
        <w:autoSpaceDN w:val="0"/>
        <w:adjustRightInd w:val="0"/>
        <w:spacing w:after="0" w:line="240" w:lineRule="auto"/>
        <w:jc w:val="both"/>
        <w:rPr>
          <w:rFonts w:ascii="Arial" w:eastAsia="Times New Roman" w:hAnsi="Arial" w:cs="Arial"/>
          <w:sz w:val="18"/>
          <w:szCs w:val="18"/>
          <w:lang w:eastAsia="es-ES"/>
        </w:rPr>
      </w:pPr>
      <w:bookmarkStart w:id="0" w:name="_Hlk525118792"/>
      <w:r w:rsidRPr="001624EA">
        <w:rPr>
          <w:rFonts w:ascii="Arial" w:eastAsia="Times New Roman" w:hAnsi="Arial" w:cs="Arial"/>
          <w:sz w:val="18"/>
          <w:szCs w:val="18"/>
          <w:lang w:eastAsia="es-ES"/>
        </w:rPr>
        <w:t xml:space="preserve">En relación </w:t>
      </w:r>
      <w:r w:rsidR="00ED1168" w:rsidRPr="001624EA">
        <w:rPr>
          <w:rFonts w:ascii="Arial" w:eastAsia="Times New Roman" w:hAnsi="Arial" w:cs="Arial"/>
          <w:sz w:val="18"/>
          <w:szCs w:val="18"/>
          <w:lang w:eastAsia="es-ES"/>
        </w:rPr>
        <w:t xml:space="preserve">con la sentencia dictada por el Tribunal Supremo en </w:t>
      </w:r>
      <w:r w:rsidR="004C0D8E">
        <w:rPr>
          <w:rFonts w:ascii="Arial" w:eastAsia="Times New Roman" w:hAnsi="Arial" w:cs="Arial"/>
          <w:sz w:val="18"/>
          <w:szCs w:val="18"/>
          <w:lang w:eastAsia="es-ES"/>
        </w:rPr>
        <w:t xml:space="preserve">el caso de </w:t>
      </w:r>
      <w:r w:rsidR="00ED1168" w:rsidRPr="001624EA">
        <w:rPr>
          <w:rFonts w:ascii="Arial" w:eastAsia="Times New Roman" w:hAnsi="Arial" w:cs="Arial"/>
          <w:sz w:val="18"/>
          <w:szCs w:val="18"/>
          <w:lang w:eastAsia="es-ES"/>
        </w:rPr>
        <w:t xml:space="preserve">la actividad de exportación de sobres, en ejecución de </w:t>
      </w:r>
      <w:proofErr w:type="gramStart"/>
      <w:r w:rsidR="00ED1168" w:rsidRPr="001624EA">
        <w:rPr>
          <w:rFonts w:ascii="Arial" w:eastAsia="Times New Roman" w:hAnsi="Arial" w:cs="Arial"/>
          <w:sz w:val="18"/>
          <w:szCs w:val="18"/>
          <w:lang w:eastAsia="es-ES"/>
        </w:rPr>
        <w:t>la misma</w:t>
      </w:r>
      <w:proofErr w:type="gramEnd"/>
      <w:r w:rsidR="00ED1168" w:rsidRPr="001624EA">
        <w:rPr>
          <w:rFonts w:ascii="Arial" w:eastAsia="Times New Roman" w:hAnsi="Arial" w:cs="Arial"/>
          <w:sz w:val="18"/>
          <w:szCs w:val="18"/>
          <w:lang w:eastAsia="es-ES"/>
        </w:rPr>
        <w:t>, la CNMC con fecha 24 de abril de 2018</w:t>
      </w:r>
      <w:r w:rsidR="004C0D8E">
        <w:rPr>
          <w:rFonts w:ascii="Arial" w:eastAsia="Times New Roman" w:hAnsi="Arial" w:cs="Arial"/>
          <w:sz w:val="18"/>
          <w:szCs w:val="18"/>
          <w:lang w:eastAsia="es-ES"/>
        </w:rPr>
        <w:t>,</w:t>
      </w:r>
      <w:r w:rsidR="00ED1168" w:rsidRPr="001624EA">
        <w:rPr>
          <w:rFonts w:ascii="Arial" w:eastAsia="Times New Roman" w:hAnsi="Arial" w:cs="Arial"/>
          <w:sz w:val="18"/>
          <w:szCs w:val="18"/>
          <w:lang w:eastAsia="es-ES"/>
        </w:rPr>
        <w:t xml:space="preserve"> emitió una resolución por la que procedía al recálculo de la sanción, pero</w:t>
      </w:r>
      <w:r w:rsidR="004C0D8E">
        <w:rPr>
          <w:rFonts w:ascii="Arial" w:eastAsia="Times New Roman" w:hAnsi="Arial" w:cs="Arial"/>
          <w:sz w:val="18"/>
          <w:szCs w:val="18"/>
          <w:lang w:eastAsia="es-ES"/>
        </w:rPr>
        <w:t>,</w:t>
      </w:r>
      <w:r w:rsidR="00ED1168" w:rsidRPr="001624EA">
        <w:rPr>
          <w:rFonts w:ascii="Arial" w:eastAsia="Times New Roman" w:hAnsi="Arial" w:cs="Arial"/>
          <w:sz w:val="18"/>
          <w:szCs w:val="18"/>
          <w:lang w:eastAsia="es-ES"/>
        </w:rPr>
        <w:t xml:space="preserve"> apartándose del mandato establecido por el Tribunal Supremo de reducir la sanción en un 40%, la CNMC reiter</w:t>
      </w:r>
      <w:r w:rsidR="004C0D8E">
        <w:rPr>
          <w:rFonts w:ascii="Arial" w:eastAsia="Times New Roman" w:hAnsi="Arial" w:cs="Arial"/>
          <w:sz w:val="18"/>
          <w:szCs w:val="18"/>
          <w:lang w:eastAsia="es-ES"/>
        </w:rPr>
        <w:t>ando</w:t>
      </w:r>
      <w:r w:rsidR="00ED1168" w:rsidRPr="001624EA">
        <w:rPr>
          <w:rFonts w:ascii="Arial" w:eastAsia="Times New Roman" w:hAnsi="Arial" w:cs="Arial"/>
          <w:sz w:val="18"/>
          <w:szCs w:val="18"/>
          <w:lang w:eastAsia="es-ES"/>
        </w:rPr>
        <w:t xml:space="preserve"> el mismo importe inicial (2.013 miles de euros). Contra dicha resolución la Sociedad</w:t>
      </w:r>
      <w:r w:rsidR="000021A5" w:rsidRPr="001624EA">
        <w:rPr>
          <w:rFonts w:ascii="Arial" w:eastAsia="Times New Roman" w:hAnsi="Arial" w:cs="Arial"/>
          <w:sz w:val="18"/>
          <w:szCs w:val="18"/>
          <w:lang w:eastAsia="es-ES"/>
        </w:rPr>
        <w:t xml:space="preserve"> dominante del Grupo</w:t>
      </w:r>
      <w:r w:rsidR="00ED1168" w:rsidRPr="001624EA">
        <w:rPr>
          <w:rFonts w:ascii="Arial" w:eastAsia="Times New Roman" w:hAnsi="Arial" w:cs="Arial"/>
          <w:sz w:val="18"/>
          <w:szCs w:val="18"/>
          <w:lang w:eastAsia="es-ES"/>
        </w:rPr>
        <w:t xml:space="preserve"> ha interpuesto recurso contencioso – administrativo ante la Audiencia Nacional y ha solicitado </w:t>
      </w:r>
      <w:r w:rsidR="000021A5" w:rsidRPr="001624EA">
        <w:rPr>
          <w:rFonts w:ascii="Arial" w:eastAsia="Times New Roman" w:hAnsi="Arial" w:cs="Arial"/>
          <w:sz w:val="18"/>
          <w:szCs w:val="18"/>
          <w:lang w:eastAsia="es-ES"/>
        </w:rPr>
        <w:t>la suspensión cautelar de la ejecución de la resolución. En opinión de los Administradores de la Sociedad dominante y en base a la mejor evaluación del riesgo de sus asesores legales, se ha procedido a dotar un</w:t>
      </w:r>
      <w:r w:rsidR="00C67A47">
        <w:rPr>
          <w:rFonts w:ascii="Arial" w:eastAsia="Times New Roman" w:hAnsi="Arial" w:cs="Arial"/>
          <w:sz w:val="18"/>
          <w:szCs w:val="18"/>
          <w:lang w:eastAsia="es-ES"/>
        </w:rPr>
        <w:t>a provisión por importe de 2.013</w:t>
      </w:r>
      <w:r w:rsidR="000021A5" w:rsidRPr="001624EA">
        <w:rPr>
          <w:rFonts w:ascii="Arial" w:eastAsia="Times New Roman" w:hAnsi="Arial" w:cs="Arial"/>
          <w:sz w:val="18"/>
          <w:szCs w:val="18"/>
          <w:lang w:eastAsia="es-ES"/>
        </w:rPr>
        <w:t xml:space="preserve"> miles de euros al cierre del periodo terminado el 30 de junio de 2018</w:t>
      </w:r>
      <w:r w:rsidR="00C67A47">
        <w:rPr>
          <w:rFonts w:ascii="Arial" w:eastAsia="Times New Roman" w:hAnsi="Arial" w:cs="Arial"/>
          <w:sz w:val="18"/>
          <w:szCs w:val="18"/>
          <w:lang w:eastAsia="es-ES"/>
        </w:rPr>
        <w:t>.</w:t>
      </w:r>
    </w:p>
    <w:bookmarkEnd w:id="0"/>
    <w:p w14:paraId="2B701B6E" w14:textId="77777777" w:rsidR="001624EA" w:rsidRPr="001624EA" w:rsidRDefault="001624EA" w:rsidP="001624EA">
      <w:pPr>
        <w:autoSpaceDE w:val="0"/>
        <w:autoSpaceDN w:val="0"/>
        <w:adjustRightInd w:val="0"/>
        <w:spacing w:after="0" w:line="240" w:lineRule="auto"/>
        <w:jc w:val="both"/>
        <w:rPr>
          <w:rFonts w:ascii="Arial" w:eastAsia="Times New Roman" w:hAnsi="Arial" w:cs="Arial"/>
          <w:sz w:val="18"/>
          <w:szCs w:val="18"/>
          <w:lang w:eastAsia="es-ES"/>
        </w:rPr>
      </w:pPr>
    </w:p>
    <w:p w14:paraId="06D90BC7" w14:textId="460BC0D7" w:rsidR="004A719F" w:rsidRDefault="00311599" w:rsidP="001624EA">
      <w:p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C</w:t>
      </w:r>
      <w:r w:rsidR="004A719F" w:rsidRPr="00311599">
        <w:rPr>
          <w:rFonts w:ascii="Arial" w:eastAsia="Times New Roman" w:hAnsi="Arial" w:cs="Arial"/>
          <w:sz w:val="18"/>
          <w:szCs w:val="18"/>
          <w:lang w:eastAsia="es-ES"/>
        </w:rPr>
        <w:t>on fecha 18 de m</w:t>
      </w:r>
      <w:r w:rsidR="00E4248F" w:rsidRPr="00311599">
        <w:rPr>
          <w:rFonts w:ascii="Arial" w:eastAsia="Times New Roman" w:hAnsi="Arial" w:cs="Arial"/>
          <w:sz w:val="18"/>
          <w:szCs w:val="18"/>
          <w:lang w:eastAsia="es-ES"/>
        </w:rPr>
        <w:t>ayo de 2018</w:t>
      </w:r>
      <w:r>
        <w:rPr>
          <w:rFonts w:ascii="Arial" w:eastAsia="Times New Roman" w:hAnsi="Arial" w:cs="Arial"/>
          <w:sz w:val="18"/>
          <w:szCs w:val="18"/>
          <w:lang w:eastAsia="es-ES"/>
        </w:rPr>
        <w:t>,</w:t>
      </w:r>
      <w:r w:rsidR="00E4248F" w:rsidRPr="00311599">
        <w:rPr>
          <w:rFonts w:ascii="Arial" w:eastAsia="Times New Roman" w:hAnsi="Arial" w:cs="Arial"/>
          <w:sz w:val="18"/>
          <w:szCs w:val="18"/>
          <w:lang w:eastAsia="es-ES"/>
        </w:rPr>
        <w:t xml:space="preserve"> el Grupo Adveo ha alcanzado</w:t>
      </w:r>
      <w:r w:rsidR="004A719F" w:rsidRPr="00311599">
        <w:rPr>
          <w:rFonts w:ascii="Arial" w:eastAsia="Times New Roman" w:hAnsi="Arial" w:cs="Arial"/>
          <w:sz w:val="18"/>
          <w:szCs w:val="18"/>
          <w:lang w:eastAsia="es-ES"/>
        </w:rPr>
        <w:t xml:space="preserve"> un acuerdo con la Administración Concursal de </w:t>
      </w:r>
      <w:proofErr w:type="spellStart"/>
      <w:r w:rsidR="004A719F" w:rsidRPr="00311599">
        <w:rPr>
          <w:rFonts w:ascii="Arial" w:eastAsia="Times New Roman" w:hAnsi="Arial" w:cs="Arial"/>
          <w:sz w:val="18"/>
          <w:szCs w:val="18"/>
          <w:lang w:eastAsia="es-ES"/>
        </w:rPr>
        <w:t>Unipapel</w:t>
      </w:r>
      <w:proofErr w:type="spellEnd"/>
      <w:r w:rsidR="004A719F" w:rsidRPr="00311599">
        <w:rPr>
          <w:rFonts w:ascii="Arial" w:eastAsia="Times New Roman" w:hAnsi="Arial" w:cs="Arial"/>
          <w:sz w:val="18"/>
          <w:szCs w:val="18"/>
          <w:lang w:eastAsia="es-ES"/>
        </w:rPr>
        <w:t>, S.L.</w:t>
      </w:r>
      <w:r w:rsidR="00E4248F" w:rsidRPr="00311599">
        <w:rPr>
          <w:rFonts w:ascii="Arial" w:eastAsia="Times New Roman" w:hAnsi="Arial" w:cs="Arial"/>
          <w:sz w:val="18"/>
          <w:szCs w:val="18"/>
          <w:lang w:eastAsia="es-ES"/>
        </w:rPr>
        <w:t>U.</w:t>
      </w:r>
      <w:r w:rsidR="004A719F" w:rsidRPr="00311599">
        <w:rPr>
          <w:rFonts w:ascii="Arial" w:eastAsia="Times New Roman" w:hAnsi="Arial" w:cs="Arial"/>
          <w:sz w:val="18"/>
          <w:szCs w:val="18"/>
          <w:lang w:eastAsia="es-ES"/>
        </w:rPr>
        <w:t xml:space="preserve">, por el que ambas partes, en interés del concurso, </w:t>
      </w:r>
      <w:r w:rsidR="00E4248F" w:rsidRPr="00311599">
        <w:rPr>
          <w:rFonts w:ascii="Arial" w:eastAsia="Times New Roman" w:hAnsi="Arial" w:cs="Arial"/>
          <w:sz w:val="18"/>
          <w:szCs w:val="18"/>
          <w:lang w:eastAsia="es-ES"/>
        </w:rPr>
        <w:t xml:space="preserve">han transado las diferentes reclamaciones y litigios que, en el marco del concurso de acreedores de </w:t>
      </w:r>
      <w:proofErr w:type="spellStart"/>
      <w:r w:rsidR="00E4248F" w:rsidRPr="00311599">
        <w:rPr>
          <w:rFonts w:ascii="Arial" w:eastAsia="Times New Roman" w:hAnsi="Arial" w:cs="Arial"/>
          <w:sz w:val="18"/>
          <w:szCs w:val="18"/>
          <w:lang w:eastAsia="es-ES"/>
        </w:rPr>
        <w:t>Unipapel</w:t>
      </w:r>
      <w:proofErr w:type="spellEnd"/>
      <w:r w:rsidR="00E4248F" w:rsidRPr="00311599">
        <w:rPr>
          <w:rFonts w:ascii="Arial" w:eastAsia="Times New Roman" w:hAnsi="Arial" w:cs="Arial"/>
          <w:sz w:val="18"/>
          <w:szCs w:val="18"/>
          <w:lang w:eastAsia="es-ES"/>
        </w:rPr>
        <w:t xml:space="preserve">, S.L.U., entre ambas mutuamente se mantenían. El acuerdo prevé asimismo la colaboración del Grupo Adveo para la comercialización tanto de la maquinaria como de las existencias depositadas en las instalaciones de </w:t>
      </w:r>
      <w:proofErr w:type="spellStart"/>
      <w:r w:rsidR="00E4248F" w:rsidRPr="00311599">
        <w:rPr>
          <w:rFonts w:ascii="Arial" w:eastAsia="Times New Roman" w:hAnsi="Arial" w:cs="Arial"/>
          <w:sz w:val="18"/>
          <w:szCs w:val="18"/>
          <w:lang w:eastAsia="es-ES"/>
        </w:rPr>
        <w:t>Unipapel</w:t>
      </w:r>
      <w:proofErr w:type="spellEnd"/>
      <w:r w:rsidR="00E4248F" w:rsidRPr="00311599">
        <w:rPr>
          <w:rFonts w:ascii="Arial" w:eastAsia="Times New Roman" w:hAnsi="Arial" w:cs="Arial"/>
          <w:sz w:val="18"/>
          <w:szCs w:val="18"/>
          <w:lang w:eastAsia="es-ES"/>
        </w:rPr>
        <w:t xml:space="preserve">, S.L.U., sujetas las operaciones de venta a la obtención de la mejor oferta posible. Adicionalmente, y habiéndose constatado la inviabilidad de la venta de la unidad productiva de </w:t>
      </w:r>
      <w:proofErr w:type="spellStart"/>
      <w:r w:rsidR="00E4248F" w:rsidRPr="00311599">
        <w:rPr>
          <w:rFonts w:ascii="Arial" w:eastAsia="Times New Roman" w:hAnsi="Arial" w:cs="Arial"/>
          <w:sz w:val="18"/>
          <w:szCs w:val="18"/>
          <w:lang w:eastAsia="es-ES"/>
        </w:rPr>
        <w:t>Uni</w:t>
      </w:r>
      <w:r w:rsidRPr="00C469ED">
        <w:rPr>
          <w:rFonts w:ascii="Arial" w:eastAsia="Times New Roman" w:hAnsi="Arial" w:cs="Arial"/>
          <w:sz w:val="18"/>
          <w:szCs w:val="18"/>
          <w:lang w:eastAsia="es-ES"/>
        </w:rPr>
        <w:t>p</w:t>
      </w:r>
      <w:r w:rsidR="00E4248F" w:rsidRPr="00311599">
        <w:rPr>
          <w:rFonts w:ascii="Arial" w:eastAsia="Times New Roman" w:hAnsi="Arial" w:cs="Arial"/>
          <w:sz w:val="18"/>
          <w:szCs w:val="18"/>
          <w:lang w:eastAsia="es-ES"/>
        </w:rPr>
        <w:t>apel</w:t>
      </w:r>
      <w:proofErr w:type="spellEnd"/>
      <w:r w:rsidR="00E4248F" w:rsidRPr="00311599">
        <w:rPr>
          <w:rFonts w:ascii="Arial" w:eastAsia="Times New Roman" w:hAnsi="Arial" w:cs="Arial"/>
          <w:sz w:val="18"/>
          <w:szCs w:val="18"/>
          <w:lang w:eastAsia="es-ES"/>
        </w:rPr>
        <w:t>, S.L.U., el Grupo Adveo y la Administración Concursal han acordado la terminación del contrato de arrendamiento de las tres fábricas (Tres Cantos, Logroño y Aduna) que hasta la fecha venía ocupando la concursada, y el consiguiente reintegro de la posesión al Grupo Adveo de los referidos inmuebles, siendo la intención del Grupo Adveo proceder a su venta.</w:t>
      </w:r>
      <w:r w:rsidR="00E4248F" w:rsidRPr="001624EA">
        <w:rPr>
          <w:rFonts w:ascii="Arial" w:eastAsia="Times New Roman" w:hAnsi="Arial" w:cs="Arial"/>
          <w:sz w:val="18"/>
          <w:szCs w:val="18"/>
          <w:lang w:eastAsia="es-ES"/>
        </w:rPr>
        <w:t xml:space="preserve"> </w:t>
      </w:r>
    </w:p>
    <w:p w14:paraId="4F978627" w14:textId="03027644" w:rsidR="00311599" w:rsidRDefault="00311599" w:rsidP="001624EA">
      <w:pPr>
        <w:autoSpaceDE w:val="0"/>
        <w:autoSpaceDN w:val="0"/>
        <w:adjustRightInd w:val="0"/>
        <w:spacing w:after="0" w:line="240" w:lineRule="auto"/>
        <w:jc w:val="both"/>
        <w:rPr>
          <w:rFonts w:ascii="Arial" w:eastAsia="Times New Roman" w:hAnsi="Arial" w:cs="Arial"/>
          <w:sz w:val="18"/>
          <w:szCs w:val="18"/>
          <w:lang w:eastAsia="es-ES"/>
        </w:rPr>
      </w:pPr>
    </w:p>
    <w:p w14:paraId="65327FB2" w14:textId="097E701A" w:rsidR="00311599" w:rsidRPr="00BD366B" w:rsidRDefault="00311599" w:rsidP="00BD366B">
      <w:pPr>
        <w:autoSpaceDE w:val="0"/>
        <w:autoSpaceDN w:val="0"/>
        <w:adjustRightInd w:val="0"/>
        <w:spacing w:after="0" w:line="240" w:lineRule="auto"/>
        <w:jc w:val="both"/>
        <w:rPr>
          <w:rFonts w:ascii="Arial" w:eastAsia="Times New Roman" w:hAnsi="Arial" w:cs="Arial"/>
          <w:sz w:val="18"/>
          <w:szCs w:val="18"/>
          <w:lang w:eastAsia="es-ES"/>
        </w:rPr>
      </w:pPr>
      <w:r w:rsidRPr="00BD366B">
        <w:rPr>
          <w:rFonts w:ascii="Arial" w:eastAsia="Times New Roman" w:hAnsi="Arial" w:cs="Arial"/>
          <w:sz w:val="18"/>
          <w:szCs w:val="18"/>
          <w:lang w:eastAsia="es-ES"/>
        </w:rPr>
        <w:t xml:space="preserve">Adicionalmente, en el mismo acuerdo y respecto de la calificación del concurso de </w:t>
      </w:r>
      <w:proofErr w:type="spellStart"/>
      <w:r w:rsidRPr="00BD366B">
        <w:rPr>
          <w:rFonts w:ascii="Arial" w:eastAsia="Times New Roman" w:hAnsi="Arial" w:cs="Arial"/>
          <w:sz w:val="18"/>
          <w:szCs w:val="18"/>
          <w:lang w:eastAsia="es-ES"/>
        </w:rPr>
        <w:t>Unipapel</w:t>
      </w:r>
      <w:proofErr w:type="spellEnd"/>
      <w:r w:rsidRPr="00BD366B">
        <w:rPr>
          <w:rFonts w:ascii="Arial" w:eastAsia="Times New Roman" w:hAnsi="Arial" w:cs="Arial"/>
          <w:sz w:val="18"/>
          <w:szCs w:val="18"/>
          <w:lang w:eastAsia="es-ES"/>
        </w:rPr>
        <w:t xml:space="preserve">, la Administración Concursal manifiesta que, dejando a salvo cualquier resolución judicial firme que pudiera manifestar lo contrario, no se aprecian por el Administrador Concursal indicios o motivos razonables y bastantes para declarar la culpabilidad o complicidad de ADVEO ESPAÑA, S.A.U y de ADVEO GROUP INTERNATIONAL, S.A. en el concurso de </w:t>
      </w:r>
      <w:proofErr w:type="spellStart"/>
      <w:r w:rsidRPr="00BD366B">
        <w:rPr>
          <w:rFonts w:ascii="Arial" w:eastAsia="Times New Roman" w:hAnsi="Arial" w:cs="Arial"/>
          <w:sz w:val="18"/>
          <w:szCs w:val="18"/>
          <w:lang w:eastAsia="es-ES"/>
        </w:rPr>
        <w:t>Unipapel</w:t>
      </w:r>
      <w:proofErr w:type="spellEnd"/>
      <w:r w:rsidRPr="00BD366B">
        <w:rPr>
          <w:rFonts w:ascii="Arial" w:eastAsia="Times New Roman" w:hAnsi="Arial" w:cs="Arial"/>
          <w:sz w:val="18"/>
          <w:szCs w:val="18"/>
          <w:lang w:eastAsia="es-ES"/>
        </w:rPr>
        <w:t xml:space="preserve">, S.L,U, y en los términos que se establecen por la vigente Ley Concursal, o de otro modo, participación en las causas que hayan generado la insolvencia de la concursada, todo ello, a mayor abundamiento, a la vista de los pronunciamientos que contienen distintas resoluciones judiciales recaídas hasta la presente fecha en los distintos procesos seguidos a instancia de los trabajadores de </w:t>
      </w:r>
      <w:proofErr w:type="spellStart"/>
      <w:r w:rsidRPr="00BD366B">
        <w:rPr>
          <w:rFonts w:ascii="Arial" w:eastAsia="Times New Roman" w:hAnsi="Arial" w:cs="Arial"/>
          <w:sz w:val="18"/>
          <w:szCs w:val="18"/>
          <w:lang w:eastAsia="es-ES"/>
        </w:rPr>
        <w:t>Unipapel</w:t>
      </w:r>
      <w:proofErr w:type="spellEnd"/>
      <w:r w:rsidRPr="00BD366B">
        <w:rPr>
          <w:rFonts w:ascii="Arial" w:eastAsia="Times New Roman" w:hAnsi="Arial" w:cs="Arial"/>
          <w:sz w:val="18"/>
          <w:szCs w:val="18"/>
          <w:lang w:eastAsia="es-ES"/>
        </w:rPr>
        <w:t>.</w:t>
      </w:r>
    </w:p>
    <w:p w14:paraId="4FA58957" w14:textId="77777777" w:rsidR="001624EA" w:rsidRPr="001624EA" w:rsidRDefault="001624EA" w:rsidP="001624EA">
      <w:pPr>
        <w:autoSpaceDE w:val="0"/>
        <w:autoSpaceDN w:val="0"/>
        <w:adjustRightInd w:val="0"/>
        <w:spacing w:after="0" w:line="240" w:lineRule="auto"/>
        <w:jc w:val="both"/>
        <w:rPr>
          <w:rFonts w:ascii="Arial" w:eastAsia="Times New Roman" w:hAnsi="Arial" w:cs="Arial"/>
          <w:sz w:val="18"/>
          <w:szCs w:val="18"/>
          <w:lang w:eastAsia="es-ES"/>
        </w:rPr>
      </w:pPr>
    </w:p>
    <w:p w14:paraId="1C92A35A" w14:textId="77777777" w:rsidR="000021A5" w:rsidRPr="00453CCB" w:rsidRDefault="000021A5" w:rsidP="000021A5">
      <w:pPr>
        <w:jc w:val="both"/>
        <w:rPr>
          <w:rFonts w:ascii="Arial" w:hAnsi="Arial" w:cs="Arial"/>
          <w:b/>
          <w:sz w:val="18"/>
          <w:szCs w:val="18"/>
        </w:rPr>
      </w:pPr>
      <w:r>
        <w:rPr>
          <w:rFonts w:ascii="Arial" w:hAnsi="Arial" w:cs="Arial"/>
          <w:b/>
          <w:sz w:val="18"/>
          <w:szCs w:val="18"/>
        </w:rPr>
        <w:t>6</w:t>
      </w:r>
      <w:r w:rsidRPr="00453CCB">
        <w:rPr>
          <w:rFonts w:ascii="Arial" w:hAnsi="Arial" w:cs="Arial"/>
          <w:b/>
          <w:sz w:val="18"/>
          <w:szCs w:val="18"/>
        </w:rPr>
        <w:t xml:space="preserve">.- </w:t>
      </w:r>
      <w:r>
        <w:rPr>
          <w:rFonts w:ascii="Arial" w:hAnsi="Arial"/>
          <w:b/>
          <w:sz w:val="18"/>
        </w:rPr>
        <w:t>Variaciones en la composición del Grupo</w:t>
      </w:r>
    </w:p>
    <w:p w14:paraId="409177E1" w14:textId="77777777" w:rsidR="000021A5" w:rsidRDefault="000021A5"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En la Nota 2.6 y Anexo I de las cuentas anuales consolidadas correspondientes al ejercicio anual terminado el 31 de diciembre de 2017 se facilita información relevante sobre las sociedades del Grupo que fueron consolidadas a dicha fecha y sobre las valoradas por el método de participación/puesta en equivalencia.</w:t>
      </w:r>
    </w:p>
    <w:p w14:paraId="27B0D7D1"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4654480A" w14:textId="77777777" w:rsidR="000021A5" w:rsidRDefault="000021A5"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 xml:space="preserve">Durante los primeros seis meses del </w:t>
      </w:r>
      <w:r w:rsidR="00E0051A">
        <w:rPr>
          <w:rFonts w:ascii="Arial" w:eastAsia="Times New Roman" w:hAnsi="Arial" w:cs="Arial"/>
          <w:sz w:val="18"/>
          <w:szCs w:val="18"/>
          <w:lang w:eastAsia="es-ES"/>
        </w:rPr>
        <w:t>ejercicio 2018 no se ha</w:t>
      </w:r>
      <w:r w:rsidRPr="00E0051A">
        <w:rPr>
          <w:rFonts w:ascii="Arial" w:eastAsia="Times New Roman" w:hAnsi="Arial" w:cs="Arial"/>
          <w:sz w:val="18"/>
          <w:szCs w:val="18"/>
          <w:lang w:eastAsia="es-ES"/>
        </w:rPr>
        <w:t xml:space="preserve"> producido variación alguna en el perímetro de consolidación.</w:t>
      </w:r>
    </w:p>
    <w:p w14:paraId="2A5C7CAE"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3927D8E8" w14:textId="77777777" w:rsidR="000021A5" w:rsidRPr="00453CCB" w:rsidRDefault="000021A5" w:rsidP="000021A5">
      <w:pPr>
        <w:jc w:val="both"/>
        <w:rPr>
          <w:rFonts w:ascii="Arial" w:hAnsi="Arial" w:cs="Arial"/>
          <w:b/>
          <w:sz w:val="18"/>
          <w:szCs w:val="18"/>
        </w:rPr>
      </w:pPr>
      <w:r>
        <w:rPr>
          <w:rFonts w:ascii="Arial" w:hAnsi="Arial" w:cs="Arial"/>
          <w:b/>
          <w:sz w:val="18"/>
          <w:szCs w:val="18"/>
        </w:rPr>
        <w:t>7</w:t>
      </w:r>
      <w:r w:rsidRPr="00453CCB">
        <w:rPr>
          <w:rFonts w:ascii="Arial" w:hAnsi="Arial" w:cs="Arial"/>
          <w:b/>
          <w:sz w:val="18"/>
          <w:szCs w:val="18"/>
        </w:rPr>
        <w:t xml:space="preserve">.- </w:t>
      </w:r>
      <w:r>
        <w:rPr>
          <w:rFonts w:ascii="Arial" w:hAnsi="Arial"/>
          <w:b/>
          <w:sz w:val="18"/>
        </w:rPr>
        <w:t>Dividendos pagados</w:t>
      </w:r>
    </w:p>
    <w:p w14:paraId="48B910E0" w14:textId="77777777" w:rsidR="000021A5" w:rsidRDefault="000021A5"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La información correspondiente a los dividendos pagados ha sido desglosada en el presente Informe Financiero, en concreto en su capítulo IV – Información Financiera Seleccionada, apartado 12.</w:t>
      </w:r>
    </w:p>
    <w:p w14:paraId="7EC93DFC"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095BD9DF" w14:textId="77777777" w:rsidR="000021A5" w:rsidRDefault="000021A5"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En este periodo no se ha acordado el pago de dividendos.</w:t>
      </w:r>
    </w:p>
    <w:p w14:paraId="23C1F417"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62BDD30C" w14:textId="77777777" w:rsidR="000021A5" w:rsidRDefault="000021A5" w:rsidP="000021A5">
      <w:pPr>
        <w:jc w:val="both"/>
        <w:rPr>
          <w:rFonts w:ascii="Arial" w:hAnsi="Arial"/>
          <w:b/>
          <w:sz w:val="18"/>
        </w:rPr>
      </w:pPr>
      <w:r>
        <w:rPr>
          <w:rFonts w:ascii="Arial" w:hAnsi="Arial" w:cs="Arial"/>
          <w:b/>
          <w:sz w:val="18"/>
          <w:szCs w:val="18"/>
        </w:rPr>
        <w:t>8</w:t>
      </w:r>
      <w:r w:rsidRPr="00453CCB">
        <w:rPr>
          <w:rFonts w:ascii="Arial" w:hAnsi="Arial" w:cs="Arial"/>
          <w:b/>
          <w:sz w:val="18"/>
          <w:szCs w:val="18"/>
        </w:rPr>
        <w:t xml:space="preserve">.- </w:t>
      </w:r>
      <w:r>
        <w:rPr>
          <w:rFonts w:ascii="Arial" w:hAnsi="Arial"/>
          <w:b/>
          <w:sz w:val="18"/>
        </w:rPr>
        <w:t>Comentarios acerca de la estacionalidad o carácter cíclico de las transacciones y comentarios analíticos sobre los resultados del ejercicio</w:t>
      </w:r>
    </w:p>
    <w:p w14:paraId="27565225" w14:textId="77777777" w:rsidR="002C1178" w:rsidRDefault="00776858"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En cuanto a la estacionalidad de las transacciones, la cifra de negocio no presenta una estacionalidad definida.</w:t>
      </w:r>
    </w:p>
    <w:p w14:paraId="359A26AA"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75CA1DB3" w14:textId="77777777" w:rsidR="00776858" w:rsidRDefault="00567969"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Respecto al análisis de los resultados del primer semestre del ejercicio 2018 indicar como aspectos más relevantes los siguientes:</w:t>
      </w:r>
    </w:p>
    <w:p w14:paraId="65E242FA"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343060D7" w14:textId="77777777" w:rsidR="00567969" w:rsidRPr="00E0051A" w:rsidRDefault="00567969"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lastRenderedPageBreak/>
        <w:t>Los resultados del semestre continúan lastrados por la limitada disponibilidad de inventario, si bien la priorización de categorías estratégicas y la reducción de costes estructurales tras las acciones acometidas en Alemania, Francia y España permite mantener un nivel mínimo de Ebitda.</w:t>
      </w:r>
    </w:p>
    <w:p w14:paraId="3EFFE0C9" w14:textId="77777777" w:rsidR="00567969" w:rsidRDefault="00567969" w:rsidP="00567969">
      <w:pPr>
        <w:pStyle w:val="Prrafodelista"/>
        <w:jc w:val="both"/>
        <w:rPr>
          <w:rFonts w:ascii="Arial" w:hAnsi="Arial"/>
          <w:sz w:val="18"/>
        </w:rPr>
      </w:pPr>
    </w:p>
    <w:p w14:paraId="795F6033" w14:textId="77777777" w:rsidR="00567969" w:rsidRPr="00E0051A" w:rsidRDefault="00567969"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Los ingresos del primer semestre del ejercicio 2018 se reducen en un 21,3% respecto al mismo periodo del ejercicio anterior debido a la falta de disponibilidad de stock que afecta en especial a los negocios de Alemania y España.</w:t>
      </w:r>
    </w:p>
    <w:p w14:paraId="5AFA74EB" w14:textId="77777777" w:rsidR="00567969" w:rsidRPr="00567969" w:rsidRDefault="00567969" w:rsidP="00567969">
      <w:pPr>
        <w:pStyle w:val="Prrafodelista"/>
        <w:rPr>
          <w:rFonts w:ascii="Arial" w:hAnsi="Arial"/>
          <w:sz w:val="18"/>
        </w:rPr>
      </w:pPr>
    </w:p>
    <w:p w14:paraId="556446E4" w14:textId="77777777" w:rsidR="00567969" w:rsidRPr="00E0051A" w:rsidRDefault="00567969"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El margen bruto se sitúa en el 28,4%, ligeramente inferior al 2017.</w:t>
      </w:r>
    </w:p>
    <w:p w14:paraId="46FED078" w14:textId="77777777" w:rsidR="00E0051A" w:rsidRDefault="00E0051A" w:rsidP="00567969">
      <w:pPr>
        <w:jc w:val="both"/>
        <w:rPr>
          <w:rFonts w:ascii="Arial" w:hAnsi="Arial"/>
          <w:i/>
          <w:sz w:val="18"/>
          <w:u w:val="single"/>
        </w:rPr>
      </w:pPr>
    </w:p>
    <w:p w14:paraId="38906583" w14:textId="77777777" w:rsidR="00567969" w:rsidRPr="00567969" w:rsidRDefault="00567969" w:rsidP="00567969">
      <w:pPr>
        <w:jc w:val="both"/>
        <w:rPr>
          <w:rFonts w:ascii="Arial" w:hAnsi="Arial"/>
          <w:i/>
          <w:sz w:val="18"/>
          <w:u w:val="single"/>
        </w:rPr>
      </w:pPr>
      <w:r w:rsidRPr="00567969">
        <w:rPr>
          <w:rFonts w:ascii="Arial" w:hAnsi="Arial"/>
          <w:i/>
          <w:sz w:val="18"/>
          <w:u w:val="single"/>
        </w:rPr>
        <w:t>Resultados por mercados</w:t>
      </w:r>
    </w:p>
    <w:p w14:paraId="16931BDF" w14:textId="77777777" w:rsidR="00567969" w:rsidRPr="00567969" w:rsidRDefault="00567969" w:rsidP="00567969">
      <w:pPr>
        <w:jc w:val="both"/>
        <w:rPr>
          <w:rFonts w:ascii="Arial" w:hAnsi="Arial"/>
          <w:sz w:val="18"/>
          <w:u w:val="single"/>
        </w:rPr>
      </w:pPr>
      <w:r>
        <w:rPr>
          <w:rFonts w:ascii="Arial" w:hAnsi="Arial"/>
          <w:sz w:val="18"/>
        </w:rPr>
        <w:tab/>
      </w:r>
      <w:r w:rsidRPr="00567969">
        <w:rPr>
          <w:rFonts w:ascii="Arial" w:hAnsi="Arial"/>
          <w:sz w:val="18"/>
          <w:u w:val="single"/>
        </w:rPr>
        <w:t>FRANCIA:</w:t>
      </w:r>
    </w:p>
    <w:p w14:paraId="24A10637" w14:textId="77777777" w:rsidR="00567969" w:rsidRPr="004548D7" w:rsidRDefault="00567969"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Las huelgas de transporte al principio de año y la menor disponibilidad penalizan un 8% las ventas.</w:t>
      </w:r>
    </w:p>
    <w:p w14:paraId="50783B67" w14:textId="77777777" w:rsidR="00AC3B3A" w:rsidRPr="004548D7" w:rsidRDefault="00567969"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 xml:space="preserve">El margen bruto se sitúa en el 26,9%, mejorando en Tinta y Tóner y manteniéndose en el resto de </w:t>
      </w:r>
      <w:proofErr w:type="gramStart"/>
      <w:r w:rsidRPr="004548D7">
        <w:rPr>
          <w:rFonts w:ascii="Arial" w:eastAsia="Times New Roman" w:hAnsi="Arial" w:cs="Arial"/>
          <w:sz w:val="18"/>
          <w:szCs w:val="18"/>
          <w:lang w:eastAsia="es-ES"/>
        </w:rPr>
        <w:t>categorías</w:t>
      </w:r>
      <w:proofErr w:type="gramEnd"/>
      <w:r w:rsidRPr="004548D7">
        <w:rPr>
          <w:rFonts w:ascii="Arial" w:eastAsia="Times New Roman" w:hAnsi="Arial" w:cs="Arial"/>
          <w:sz w:val="18"/>
          <w:szCs w:val="18"/>
          <w:lang w:eastAsia="es-ES"/>
        </w:rPr>
        <w:t>.</w:t>
      </w:r>
    </w:p>
    <w:p w14:paraId="2F8BCCF0" w14:textId="77777777" w:rsidR="00567969" w:rsidRPr="004548D7" w:rsidRDefault="00567969"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El Ebitda del periodo asciende a 7,9 millones de euros, reduciéndose en un 9,6% respecto al mismo periodo del año anterior.</w:t>
      </w:r>
    </w:p>
    <w:p w14:paraId="2141E9F5" w14:textId="77777777" w:rsidR="00567969" w:rsidRPr="00567969" w:rsidRDefault="00567969" w:rsidP="00567969">
      <w:pPr>
        <w:pStyle w:val="Prrafodelista"/>
        <w:rPr>
          <w:rFonts w:ascii="Arial" w:hAnsi="Arial"/>
          <w:sz w:val="18"/>
        </w:rPr>
      </w:pPr>
    </w:p>
    <w:p w14:paraId="78B91C84" w14:textId="77777777" w:rsidR="00567969" w:rsidRDefault="00567969" w:rsidP="00567969">
      <w:pPr>
        <w:ind w:left="708"/>
        <w:jc w:val="both"/>
        <w:rPr>
          <w:rFonts w:ascii="Arial" w:hAnsi="Arial"/>
          <w:sz w:val="18"/>
          <w:u w:val="single"/>
        </w:rPr>
      </w:pPr>
      <w:r>
        <w:rPr>
          <w:rFonts w:ascii="Arial" w:hAnsi="Arial"/>
          <w:sz w:val="18"/>
          <w:u w:val="single"/>
        </w:rPr>
        <w:t>IBERIA</w:t>
      </w:r>
      <w:r w:rsidRPr="00567969">
        <w:rPr>
          <w:rFonts w:ascii="Arial" w:hAnsi="Arial"/>
          <w:sz w:val="18"/>
          <w:u w:val="single"/>
        </w:rPr>
        <w:t>:</w:t>
      </w:r>
    </w:p>
    <w:p w14:paraId="7087DCDA" w14:textId="77777777" w:rsidR="00AC3B3A" w:rsidRPr="004548D7" w:rsidRDefault="00567969"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 xml:space="preserve">Muy impactada por la falta de disponibilidad, las ventas del periodo se reducen un 51%, si bien el margen bruto mejora en 6,6 </w:t>
      </w:r>
      <w:proofErr w:type="spellStart"/>
      <w:r w:rsidRPr="004548D7">
        <w:rPr>
          <w:rFonts w:ascii="Arial" w:eastAsia="Times New Roman" w:hAnsi="Arial" w:cs="Arial"/>
          <w:sz w:val="18"/>
          <w:szCs w:val="18"/>
          <w:lang w:eastAsia="es-ES"/>
        </w:rPr>
        <w:t>pp</w:t>
      </w:r>
      <w:proofErr w:type="spellEnd"/>
      <w:r w:rsidRPr="004548D7">
        <w:rPr>
          <w:rFonts w:ascii="Arial" w:eastAsia="Times New Roman" w:hAnsi="Arial" w:cs="Arial"/>
          <w:sz w:val="18"/>
          <w:szCs w:val="18"/>
          <w:lang w:eastAsia="es-ES"/>
        </w:rPr>
        <w:t xml:space="preserve"> con una buena gestión de las categorías estratégicas. </w:t>
      </w:r>
    </w:p>
    <w:p w14:paraId="27307C6D" w14:textId="77777777" w:rsidR="00AC3B3A" w:rsidRPr="004548D7" w:rsidRDefault="00AC3B3A"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El Ebitda del periodo desciende un 12,5% respecto al mismo periodo del año anterior cerrando el periodo en un Ebitda negativo de 3,6 millones de euros.</w:t>
      </w:r>
    </w:p>
    <w:p w14:paraId="0A22245D" w14:textId="77777777" w:rsidR="00AC3B3A" w:rsidRDefault="00AC3B3A" w:rsidP="00AC3B3A">
      <w:pPr>
        <w:pStyle w:val="Prrafodelista"/>
        <w:rPr>
          <w:rFonts w:ascii="Arial" w:hAnsi="Arial"/>
          <w:sz w:val="18"/>
        </w:rPr>
      </w:pPr>
    </w:p>
    <w:p w14:paraId="5AD9B131" w14:textId="77777777" w:rsidR="00AC3B3A" w:rsidRDefault="00AC3B3A" w:rsidP="00AC3B3A">
      <w:pPr>
        <w:ind w:left="708"/>
        <w:jc w:val="both"/>
        <w:rPr>
          <w:rFonts w:ascii="Arial" w:hAnsi="Arial"/>
          <w:sz w:val="18"/>
          <w:u w:val="single"/>
        </w:rPr>
      </w:pPr>
      <w:r>
        <w:rPr>
          <w:rFonts w:ascii="Arial" w:hAnsi="Arial"/>
          <w:sz w:val="18"/>
          <w:u w:val="single"/>
        </w:rPr>
        <w:t>RESTO MERCADOS</w:t>
      </w:r>
      <w:r w:rsidRPr="00567969">
        <w:rPr>
          <w:rFonts w:ascii="Arial" w:hAnsi="Arial"/>
          <w:sz w:val="18"/>
          <w:u w:val="single"/>
        </w:rPr>
        <w:t>:</w:t>
      </w:r>
    </w:p>
    <w:p w14:paraId="6C6F817C" w14:textId="77777777" w:rsidR="00AC3B3A" w:rsidRPr="004548D7" w:rsidRDefault="00AC3B3A"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Reducción de las ventas del periodo por el impacto de la baja disponibilidad en el negocio de Alemania, mientras que Italia y Benelux, menos penalizadas, se mantienen en niveles de 2017.</w:t>
      </w:r>
    </w:p>
    <w:p w14:paraId="0CC76657" w14:textId="77777777" w:rsidR="00AC3B3A" w:rsidRPr="004548D7" w:rsidRDefault="00AC3B3A"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Buena gestión del margen bruto que mejora 1,2 pp.</w:t>
      </w:r>
    </w:p>
    <w:p w14:paraId="58ADC77C" w14:textId="77777777" w:rsidR="00AC3B3A" w:rsidRDefault="00AC3B3A" w:rsidP="004548D7">
      <w:pPr>
        <w:pStyle w:val="Prrafodelista"/>
        <w:numPr>
          <w:ilvl w:val="0"/>
          <w:numId w:val="10"/>
        </w:numPr>
        <w:autoSpaceDE w:val="0"/>
        <w:autoSpaceDN w:val="0"/>
        <w:adjustRightInd w:val="0"/>
        <w:spacing w:after="0" w:line="240" w:lineRule="auto"/>
        <w:jc w:val="both"/>
        <w:rPr>
          <w:rFonts w:ascii="Arial" w:eastAsia="Times New Roman" w:hAnsi="Arial" w:cs="Arial"/>
          <w:sz w:val="18"/>
          <w:szCs w:val="18"/>
          <w:lang w:eastAsia="es-ES"/>
        </w:rPr>
      </w:pPr>
      <w:r w:rsidRPr="004548D7">
        <w:rPr>
          <w:rFonts w:ascii="Arial" w:eastAsia="Times New Roman" w:hAnsi="Arial" w:cs="Arial"/>
          <w:sz w:val="18"/>
          <w:szCs w:val="18"/>
          <w:lang w:eastAsia="es-ES"/>
        </w:rPr>
        <w:t>El Ebitda del periodo asciende a un Ebitda negativo de 1,4 millones de euros como consecuencia de la fuerte reducción de Alemania por la falta de volumen mientras que Italia y Benelux reducen ligeramente su resultado operativo por una menor actividad en el sector y unos costes ligeramente superiores al año anterior.</w:t>
      </w:r>
    </w:p>
    <w:p w14:paraId="1DCABC83" w14:textId="77777777" w:rsidR="004548D7" w:rsidRPr="004548D7" w:rsidRDefault="004548D7" w:rsidP="004548D7">
      <w:pPr>
        <w:pStyle w:val="Prrafodelista"/>
        <w:autoSpaceDE w:val="0"/>
        <w:autoSpaceDN w:val="0"/>
        <w:adjustRightInd w:val="0"/>
        <w:spacing w:after="0" w:line="240" w:lineRule="auto"/>
        <w:ind w:left="1068"/>
        <w:jc w:val="both"/>
        <w:rPr>
          <w:rFonts w:ascii="Arial" w:eastAsia="Times New Roman" w:hAnsi="Arial" w:cs="Arial"/>
          <w:sz w:val="18"/>
          <w:szCs w:val="18"/>
          <w:lang w:eastAsia="es-ES"/>
        </w:rPr>
      </w:pPr>
    </w:p>
    <w:p w14:paraId="05AEA69D" w14:textId="77777777" w:rsidR="00FA6C05" w:rsidRPr="00955AB2" w:rsidRDefault="00FA6C05" w:rsidP="00FA6C05">
      <w:pPr>
        <w:jc w:val="both"/>
        <w:rPr>
          <w:rFonts w:ascii="Arial" w:hAnsi="Arial" w:cs="Arial"/>
          <w:b/>
          <w:color w:val="000000"/>
          <w:sz w:val="18"/>
          <w:szCs w:val="18"/>
        </w:rPr>
      </w:pPr>
      <w:r>
        <w:rPr>
          <w:rFonts w:ascii="Arial" w:hAnsi="Arial" w:cs="Arial"/>
          <w:b/>
          <w:color w:val="000000"/>
          <w:sz w:val="18"/>
          <w:szCs w:val="18"/>
        </w:rPr>
        <w:t>9</w:t>
      </w:r>
      <w:r w:rsidRPr="00955AB2">
        <w:rPr>
          <w:rFonts w:ascii="Arial" w:hAnsi="Arial" w:cs="Arial"/>
          <w:b/>
          <w:color w:val="000000"/>
          <w:sz w:val="18"/>
          <w:szCs w:val="18"/>
        </w:rPr>
        <w:t>.- Información segmentada</w:t>
      </w:r>
    </w:p>
    <w:p w14:paraId="183A9148" w14:textId="77777777" w:rsidR="00FA6C05" w:rsidRDefault="00FA6C05"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En la nota 14 del Capítulo IV sobre Información Financiera Seleccionada se da información sobre las actividades del Grupo. Los criterios de segmentación no han sufrido var</w:t>
      </w:r>
      <w:r w:rsidR="003D4248" w:rsidRPr="00E0051A">
        <w:rPr>
          <w:rFonts w:ascii="Arial" w:eastAsia="Times New Roman" w:hAnsi="Arial" w:cs="Arial"/>
          <w:sz w:val="18"/>
          <w:szCs w:val="18"/>
          <w:lang w:eastAsia="es-ES"/>
        </w:rPr>
        <w:t>iación durante el ejercicio 2018 respecto al ejercicio 2017</w:t>
      </w:r>
      <w:r w:rsidRPr="00E0051A">
        <w:rPr>
          <w:rFonts w:ascii="Arial" w:eastAsia="Times New Roman" w:hAnsi="Arial" w:cs="Arial"/>
          <w:sz w:val="18"/>
          <w:szCs w:val="18"/>
          <w:lang w:eastAsia="es-ES"/>
        </w:rPr>
        <w:t xml:space="preserve"> siendo los principales la distribución de consumibles de informática y distribución de material de oficina tradicional entre otros.</w:t>
      </w:r>
    </w:p>
    <w:p w14:paraId="19E42C22"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617DD7EF" w14:textId="77777777" w:rsidR="003D4248" w:rsidRPr="00955AB2" w:rsidRDefault="003D4248" w:rsidP="003D4248">
      <w:pPr>
        <w:jc w:val="both"/>
        <w:rPr>
          <w:rFonts w:ascii="Arial" w:hAnsi="Arial" w:cs="Arial"/>
          <w:b/>
          <w:color w:val="000000"/>
          <w:sz w:val="18"/>
          <w:szCs w:val="18"/>
        </w:rPr>
      </w:pPr>
      <w:r>
        <w:rPr>
          <w:rFonts w:ascii="Arial" w:hAnsi="Arial" w:cs="Arial"/>
          <w:b/>
          <w:color w:val="000000"/>
          <w:sz w:val="18"/>
          <w:szCs w:val="18"/>
        </w:rPr>
        <w:t>10</w:t>
      </w:r>
      <w:r w:rsidRPr="00955AB2">
        <w:rPr>
          <w:rFonts w:ascii="Arial" w:hAnsi="Arial" w:cs="Arial"/>
          <w:b/>
          <w:color w:val="000000"/>
          <w:sz w:val="18"/>
          <w:szCs w:val="18"/>
        </w:rPr>
        <w:t>.- Hechos posteriores al cierre</w:t>
      </w:r>
    </w:p>
    <w:p w14:paraId="33D1E5E2" w14:textId="622B2A01" w:rsidR="003D4248" w:rsidRDefault="003D4248"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 xml:space="preserve">Durante el primer semestre del 2018, </w:t>
      </w:r>
      <w:r w:rsidR="007045BD">
        <w:rPr>
          <w:rFonts w:ascii="Arial" w:eastAsia="Times New Roman" w:hAnsi="Arial" w:cs="Arial"/>
          <w:sz w:val="18"/>
          <w:szCs w:val="18"/>
          <w:lang w:eastAsia="es-ES"/>
        </w:rPr>
        <w:t>tras</w:t>
      </w:r>
      <w:r w:rsidRPr="00E0051A">
        <w:rPr>
          <w:rFonts w:ascii="Arial" w:eastAsia="Times New Roman" w:hAnsi="Arial" w:cs="Arial"/>
          <w:sz w:val="18"/>
          <w:szCs w:val="18"/>
          <w:lang w:eastAsia="es-ES"/>
        </w:rPr>
        <w:t xml:space="preserve"> el proceso de reestructuración de la deuda financiera </w:t>
      </w:r>
      <w:r w:rsidR="007045BD">
        <w:rPr>
          <w:rFonts w:ascii="Arial" w:eastAsia="Times New Roman" w:hAnsi="Arial" w:cs="Arial"/>
          <w:sz w:val="18"/>
          <w:szCs w:val="18"/>
          <w:lang w:eastAsia="es-ES"/>
        </w:rPr>
        <w:t>firmado el 27 de julio de</w:t>
      </w:r>
      <w:r w:rsidRPr="00E0051A">
        <w:rPr>
          <w:rFonts w:ascii="Arial" w:eastAsia="Times New Roman" w:hAnsi="Arial" w:cs="Arial"/>
          <w:sz w:val="18"/>
          <w:szCs w:val="18"/>
          <w:lang w:eastAsia="es-ES"/>
        </w:rPr>
        <w:t xml:space="preserve"> 2017, el Grupo Adveo encargó al Banco de Inversión </w:t>
      </w:r>
      <w:proofErr w:type="spellStart"/>
      <w:r w:rsidRPr="00E0051A">
        <w:rPr>
          <w:rFonts w:ascii="Arial" w:eastAsia="Times New Roman" w:hAnsi="Arial" w:cs="Arial"/>
          <w:sz w:val="18"/>
          <w:szCs w:val="18"/>
          <w:lang w:eastAsia="es-ES"/>
        </w:rPr>
        <w:t>Houlihan</w:t>
      </w:r>
      <w:proofErr w:type="spellEnd"/>
      <w:r w:rsidRPr="00E0051A">
        <w:rPr>
          <w:rFonts w:ascii="Arial" w:eastAsia="Times New Roman" w:hAnsi="Arial" w:cs="Arial"/>
          <w:sz w:val="18"/>
          <w:szCs w:val="18"/>
          <w:lang w:eastAsia="es-ES"/>
        </w:rPr>
        <w:t xml:space="preserve"> </w:t>
      </w:r>
      <w:proofErr w:type="spellStart"/>
      <w:r w:rsidRPr="00E0051A">
        <w:rPr>
          <w:rFonts w:ascii="Arial" w:eastAsia="Times New Roman" w:hAnsi="Arial" w:cs="Arial"/>
          <w:sz w:val="18"/>
          <w:szCs w:val="18"/>
          <w:lang w:eastAsia="es-ES"/>
        </w:rPr>
        <w:t>Lokey</w:t>
      </w:r>
      <w:proofErr w:type="spellEnd"/>
      <w:r w:rsidRPr="00E0051A">
        <w:rPr>
          <w:rFonts w:ascii="Arial" w:eastAsia="Times New Roman" w:hAnsi="Arial" w:cs="Arial"/>
          <w:sz w:val="18"/>
          <w:szCs w:val="18"/>
          <w:lang w:eastAsia="es-ES"/>
        </w:rPr>
        <w:t>, la puesta en marcha de un nuevo proceso con el objetivo de incorpora</w:t>
      </w:r>
      <w:r w:rsidR="007045BD">
        <w:rPr>
          <w:rFonts w:ascii="Arial" w:eastAsia="Times New Roman" w:hAnsi="Arial" w:cs="Arial"/>
          <w:sz w:val="18"/>
          <w:szCs w:val="18"/>
          <w:lang w:eastAsia="es-ES"/>
        </w:rPr>
        <w:t>r</w:t>
      </w:r>
      <w:r w:rsidRPr="00E0051A">
        <w:rPr>
          <w:rFonts w:ascii="Arial" w:eastAsia="Times New Roman" w:hAnsi="Arial" w:cs="Arial"/>
          <w:sz w:val="18"/>
          <w:szCs w:val="18"/>
          <w:lang w:eastAsia="es-ES"/>
        </w:rPr>
        <w:t xml:space="preserve"> un nuevo inversor que aportase alrededor de 30 millones de euros en forma de financiación a largo plazo. Dicho nuevo proceso </w:t>
      </w:r>
      <w:r w:rsidR="007045BD">
        <w:rPr>
          <w:rFonts w:ascii="Arial" w:eastAsia="Times New Roman" w:hAnsi="Arial" w:cs="Arial"/>
          <w:sz w:val="18"/>
          <w:szCs w:val="18"/>
          <w:lang w:eastAsia="es-ES"/>
        </w:rPr>
        <w:t xml:space="preserve">se </w:t>
      </w:r>
      <w:r w:rsidRPr="00E0051A">
        <w:rPr>
          <w:rFonts w:ascii="Arial" w:eastAsia="Times New Roman" w:hAnsi="Arial" w:cs="Arial"/>
          <w:sz w:val="18"/>
          <w:szCs w:val="18"/>
          <w:lang w:eastAsia="es-ES"/>
        </w:rPr>
        <w:t xml:space="preserve">ha </w:t>
      </w:r>
      <w:r w:rsidR="007045BD">
        <w:rPr>
          <w:rFonts w:ascii="Arial" w:eastAsia="Times New Roman" w:hAnsi="Arial" w:cs="Arial"/>
          <w:sz w:val="18"/>
          <w:szCs w:val="18"/>
          <w:lang w:eastAsia="es-ES"/>
        </w:rPr>
        <w:t>desarrollado en</w:t>
      </w:r>
      <w:r w:rsidR="00C469ED">
        <w:rPr>
          <w:rFonts w:ascii="Arial" w:eastAsia="Times New Roman" w:hAnsi="Arial" w:cs="Arial"/>
          <w:sz w:val="18"/>
          <w:szCs w:val="18"/>
          <w:lang w:eastAsia="es-ES"/>
        </w:rPr>
        <w:t xml:space="preserve"> </w:t>
      </w:r>
      <w:r w:rsidRPr="00E0051A">
        <w:rPr>
          <w:rFonts w:ascii="Arial" w:eastAsia="Times New Roman" w:hAnsi="Arial" w:cs="Arial"/>
          <w:sz w:val="18"/>
          <w:szCs w:val="18"/>
          <w:lang w:eastAsia="es-ES"/>
        </w:rPr>
        <w:t>total coordinación con la banca firmante de la financiación sindicada.</w:t>
      </w:r>
    </w:p>
    <w:p w14:paraId="166CE4D3"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6A931E55" w14:textId="6A2EC705" w:rsidR="003D4248" w:rsidRDefault="003D4248"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Fruto de este proceso</w:t>
      </w:r>
      <w:r w:rsidR="007045BD">
        <w:rPr>
          <w:rFonts w:ascii="Arial" w:eastAsia="Times New Roman" w:hAnsi="Arial" w:cs="Arial"/>
          <w:sz w:val="18"/>
          <w:szCs w:val="18"/>
          <w:lang w:eastAsia="es-ES"/>
        </w:rPr>
        <w:t>,</w:t>
      </w:r>
      <w:r w:rsidRPr="00E0051A">
        <w:rPr>
          <w:rFonts w:ascii="Arial" w:eastAsia="Times New Roman" w:hAnsi="Arial" w:cs="Arial"/>
          <w:sz w:val="18"/>
          <w:szCs w:val="18"/>
          <w:lang w:eastAsia="es-ES"/>
        </w:rPr>
        <w:t xml:space="preserve"> con fecha 13 de junio el Consejo de Administración de la Sociedad recibió Ofertas Vinculantes</w:t>
      </w:r>
      <w:r w:rsidR="007045BD">
        <w:rPr>
          <w:rFonts w:ascii="Arial" w:eastAsia="Times New Roman" w:hAnsi="Arial" w:cs="Arial"/>
          <w:sz w:val="18"/>
          <w:szCs w:val="18"/>
          <w:lang w:eastAsia="es-ES"/>
        </w:rPr>
        <w:t xml:space="preserve"> que</w:t>
      </w:r>
      <w:r w:rsidRPr="00E0051A">
        <w:rPr>
          <w:rFonts w:ascii="Arial" w:eastAsia="Times New Roman" w:hAnsi="Arial" w:cs="Arial"/>
          <w:sz w:val="18"/>
          <w:szCs w:val="18"/>
          <w:lang w:eastAsia="es-ES"/>
        </w:rPr>
        <w:t xml:space="preserve"> permitían cumplir con los objetivos del Grupo</w:t>
      </w:r>
      <w:r w:rsidR="007045BD">
        <w:rPr>
          <w:rFonts w:ascii="Arial" w:eastAsia="Times New Roman" w:hAnsi="Arial" w:cs="Arial"/>
          <w:sz w:val="18"/>
          <w:szCs w:val="18"/>
          <w:lang w:eastAsia="es-ES"/>
        </w:rPr>
        <w:t>, desarrollo de</w:t>
      </w:r>
      <w:r w:rsidRPr="00E0051A">
        <w:rPr>
          <w:rFonts w:ascii="Arial" w:eastAsia="Times New Roman" w:hAnsi="Arial" w:cs="Arial"/>
          <w:sz w:val="18"/>
          <w:szCs w:val="18"/>
          <w:lang w:eastAsia="es-ES"/>
        </w:rPr>
        <w:t xml:space="preserve"> su Plan Estratégico</w:t>
      </w:r>
      <w:r w:rsidR="00E16C8B" w:rsidRPr="00E0051A">
        <w:rPr>
          <w:rFonts w:ascii="Arial" w:eastAsia="Times New Roman" w:hAnsi="Arial" w:cs="Arial"/>
          <w:sz w:val="18"/>
          <w:szCs w:val="18"/>
          <w:lang w:eastAsia="es-ES"/>
        </w:rPr>
        <w:t>, y además cumplían con los requerimientos de las entidades financieras</w:t>
      </w:r>
      <w:r w:rsidRPr="00E0051A">
        <w:rPr>
          <w:rFonts w:ascii="Arial" w:eastAsia="Times New Roman" w:hAnsi="Arial" w:cs="Arial"/>
          <w:sz w:val="18"/>
          <w:szCs w:val="18"/>
          <w:lang w:eastAsia="es-ES"/>
        </w:rPr>
        <w:t xml:space="preserve">. Dichas ofertas fueron trasladadas a las entidades financieras participantes del Acuerdo Marco de Reestructuración para su aceptación dentro del plazo de validez de </w:t>
      </w:r>
      <w:proofErr w:type="gramStart"/>
      <w:r w:rsidRPr="00E0051A">
        <w:rPr>
          <w:rFonts w:ascii="Arial" w:eastAsia="Times New Roman" w:hAnsi="Arial" w:cs="Arial"/>
          <w:sz w:val="18"/>
          <w:szCs w:val="18"/>
          <w:lang w:eastAsia="es-ES"/>
        </w:rPr>
        <w:t>las mismas</w:t>
      </w:r>
      <w:proofErr w:type="gramEnd"/>
      <w:r w:rsidRPr="00E0051A">
        <w:rPr>
          <w:rFonts w:ascii="Arial" w:eastAsia="Times New Roman" w:hAnsi="Arial" w:cs="Arial"/>
          <w:sz w:val="18"/>
          <w:szCs w:val="18"/>
          <w:lang w:eastAsia="es-ES"/>
        </w:rPr>
        <w:t>.</w:t>
      </w:r>
    </w:p>
    <w:p w14:paraId="28FF9F1D"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7187D527" w14:textId="2ED5932E" w:rsidR="003D4248" w:rsidRDefault="003D4248"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 xml:space="preserve">Con fecha 26 de junio el Consejo de Administración, en coordinación con la banca firmante de la financiación sindicada, aceptó firmar un acuerdo de exclusividad en los términos de la oferta vinculante presentada por </w:t>
      </w:r>
      <w:r w:rsidR="007045BD">
        <w:rPr>
          <w:rFonts w:ascii="Arial" w:eastAsia="Times New Roman" w:hAnsi="Arial" w:cs="Arial"/>
          <w:sz w:val="18"/>
          <w:szCs w:val="18"/>
          <w:lang w:eastAsia="es-ES"/>
        </w:rPr>
        <w:t xml:space="preserve">uno de los Oferentes, </w:t>
      </w:r>
      <w:r w:rsidRPr="00E0051A">
        <w:rPr>
          <w:rFonts w:ascii="Arial" w:eastAsia="Times New Roman" w:hAnsi="Arial" w:cs="Arial"/>
          <w:sz w:val="18"/>
          <w:szCs w:val="18"/>
          <w:lang w:eastAsia="es-ES"/>
        </w:rPr>
        <w:t>que suponía la entrada de 33 millones de euros de liquidez inmediata y la modificación de los términos de la financiación bancaria actual. Durante el mes de julio se realiz</w:t>
      </w:r>
      <w:r w:rsidR="007045BD">
        <w:rPr>
          <w:rFonts w:ascii="Arial" w:eastAsia="Times New Roman" w:hAnsi="Arial" w:cs="Arial"/>
          <w:sz w:val="18"/>
          <w:szCs w:val="18"/>
          <w:lang w:eastAsia="es-ES"/>
        </w:rPr>
        <w:t>ó</w:t>
      </w:r>
      <w:r w:rsidRPr="00E0051A">
        <w:rPr>
          <w:rFonts w:ascii="Arial" w:eastAsia="Times New Roman" w:hAnsi="Arial" w:cs="Arial"/>
          <w:sz w:val="18"/>
          <w:szCs w:val="18"/>
          <w:lang w:eastAsia="es-ES"/>
        </w:rPr>
        <w:t xml:space="preserve"> </w:t>
      </w:r>
      <w:r w:rsidR="007045BD">
        <w:rPr>
          <w:rFonts w:ascii="Arial" w:eastAsia="Times New Roman" w:hAnsi="Arial" w:cs="Arial"/>
          <w:sz w:val="18"/>
          <w:szCs w:val="18"/>
          <w:lang w:eastAsia="es-ES"/>
        </w:rPr>
        <w:t>el</w:t>
      </w:r>
      <w:r w:rsidR="007045BD" w:rsidRPr="00E0051A">
        <w:rPr>
          <w:rFonts w:ascii="Arial" w:eastAsia="Times New Roman" w:hAnsi="Arial" w:cs="Arial"/>
          <w:sz w:val="18"/>
          <w:szCs w:val="18"/>
          <w:lang w:eastAsia="es-ES"/>
        </w:rPr>
        <w:t xml:space="preserve"> </w:t>
      </w:r>
      <w:r w:rsidRPr="00E0051A">
        <w:rPr>
          <w:rFonts w:ascii="Arial" w:eastAsia="Times New Roman" w:hAnsi="Arial" w:cs="Arial"/>
          <w:sz w:val="18"/>
          <w:szCs w:val="18"/>
          <w:lang w:eastAsia="es-ES"/>
        </w:rPr>
        <w:t xml:space="preserve">proceso de documentación y de </w:t>
      </w:r>
      <w:r w:rsidRPr="00E0051A">
        <w:rPr>
          <w:rFonts w:ascii="Arial" w:eastAsia="Times New Roman" w:hAnsi="Arial" w:cs="Arial"/>
          <w:sz w:val="18"/>
          <w:szCs w:val="18"/>
          <w:lang w:eastAsia="es-ES"/>
        </w:rPr>
        <w:lastRenderedPageBreak/>
        <w:t>autorizaciones que ha</w:t>
      </w:r>
      <w:r w:rsidR="007045BD">
        <w:rPr>
          <w:rFonts w:ascii="Arial" w:eastAsia="Times New Roman" w:hAnsi="Arial" w:cs="Arial"/>
          <w:sz w:val="18"/>
          <w:szCs w:val="18"/>
          <w:lang w:eastAsia="es-ES"/>
        </w:rPr>
        <w:t>bría concluido</w:t>
      </w:r>
      <w:r w:rsidRPr="00E0051A">
        <w:rPr>
          <w:rFonts w:ascii="Arial" w:eastAsia="Times New Roman" w:hAnsi="Arial" w:cs="Arial"/>
          <w:sz w:val="18"/>
          <w:szCs w:val="18"/>
          <w:lang w:eastAsia="es-ES"/>
        </w:rPr>
        <w:t xml:space="preserve"> el 27 de julio</w:t>
      </w:r>
      <w:r w:rsidR="00412D37" w:rsidRPr="00E0051A">
        <w:rPr>
          <w:rFonts w:ascii="Arial" w:eastAsia="Times New Roman" w:hAnsi="Arial" w:cs="Arial"/>
          <w:sz w:val="18"/>
          <w:szCs w:val="18"/>
          <w:lang w:eastAsia="es-ES"/>
        </w:rPr>
        <w:t>,</w:t>
      </w:r>
      <w:r w:rsidRPr="00E0051A">
        <w:rPr>
          <w:rFonts w:ascii="Arial" w:eastAsia="Times New Roman" w:hAnsi="Arial" w:cs="Arial"/>
          <w:sz w:val="18"/>
          <w:szCs w:val="18"/>
          <w:lang w:eastAsia="es-ES"/>
        </w:rPr>
        <w:t xml:space="preserve"> </w:t>
      </w:r>
      <w:r w:rsidR="007045BD">
        <w:rPr>
          <w:rFonts w:ascii="Arial" w:eastAsia="Times New Roman" w:hAnsi="Arial" w:cs="Arial"/>
          <w:sz w:val="18"/>
          <w:szCs w:val="18"/>
          <w:lang w:eastAsia="es-ES"/>
        </w:rPr>
        <w:t>fecha en la que estaba</w:t>
      </w:r>
      <w:r w:rsidRPr="00E0051A">
        <w:rPr>
          <w:rFonts w:ascii="Arial" w:eastAsia="Times New Roman" w:hAnsi="Arial" w:cs="Arial"/>
          <w:sz w:val="18"/>
          <w:szCs w:val="18"/>
          <w:lang w:eastAsia="es-ES"/>
        </w:rPr>
        <w:t xml:space="preserve"> previsto su materialización a través de la aprobación en la Junta General Extraordinaria de Accionistas convocada.</w:t>
      </w:r>
    </w:p>
    <w:p w14:paraId="03092D29"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12163844" w14:textId="527C0914" w:rsidR="007045BD" w:rsidRDefault="003D4248"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 xml:space="preserve">Con fecha 26 de julio, las entidades financieras optan por no aceptar la oferta vinculante </w:t>
      </w:r>
      <w:r w:rsidR="007045BD">
        <w:rPr>
          <w:rFonts w:ascii="Arial" w:eastAsia="Times New Roman" w:hAnsi="Arial" w:cs="Arial"/>
          <w:sz w:val="18"/>
          <w:szCs w:val="18"/>
          <w:lang w:eastAsia="es-ES"/>
        </w:rPr>
        <w:t>seleccionada</w:t>
      </w:r>
      <w:r w:rsidR="00412D37" w:rsidRPr="00E0051A">
        <w:rPr>
          <w:rFonts w:ascii="Arial" w:eastAsia="Times New Roman" w:hAnsi="Arial" w:cs="Arial"/>
          <w:sz w:val="18"/>
          <w:szCs w:val="18"/>
          <w:lang w:eastAsia="es-ES"/>
        </w:rPr>
        <w:t xml:space="preserve">, y por tanto cancelar el proceso con este inversor, por lo que ADVEO desconvoca </w:t>
      </w:r>
      <w:r w:rsidRPr="00E0051A">
        <w:rPr>
          <w:rFonts w:ascii="Arial" w:eastAsia="Times New Roman" w:hAnsi="Arial" w:cs="Arial"/>
          <w:sz w:val="18"/>
          <w:szCs w:val="18"/>
          <w:lang w:eastAsia="es-ES"/>
        </w:rPr>
        <w:t>la Junta General Extraordinaria</w:t>
      </w:r>
      <w:r w:rsidR="00412D37" w:rsidRPr="00E0051A">
        <w:rPr>
          <w:rFonts w:ascii="Arial" w:eastAsia="Times New Roman" w:hAnsi="Arial" w:cs="Arial"/>
          <w:sz w:val="18"/>
          <w:szCs w:val="18"/>
          <w:lang w:eastAsia="es-ES"/>
        </w:rPr>
        <w:t>.</w:t>
      </w:r>
      <w:r w:rsidRPr="00E0051A">
        <w:rPr>
          <w:rFonts w:ascii="Arial" w:eastAsia="Times New Roman" w:hAnsi="Arial" w:cs="Arial"/>
          <w:sz w:val="18"/>
          <w:szCs w:val="18"/>
          <w:lang w:eastAsia="es-ES"/>
        </w:rPr>
        <w:t xml:space="preserve"> </w:t>
      </w:r>
    </w:p>
    <w:p w14:paraId="79794F49" w14:textId="77777777" w:rsidR="007045BD" w:rsidRDefault="007045BD" w:rsidP="00E0051A">
      <w:pPr>
        <w:autoSpaceDE w:val="0"/>
        <w:autoSpaceDN w:val="0"/>
        <w:adjustRightInd w:val="0"/>
        <w:spacing w:after="0" w:line="240" w:lineRule="auto"/>
        <w:jc w:val="both"/>
        <w:rPr>
          <w:rFonts w:ascii="Arial" w:eastAsia="Times New Roman" w:hAnsi="Arial" w:cs="Arial"/>
          <w:sz w:val="18"/>
          <w:szCs w:val="18"/>
          <w:lang w:eastAsia="es-ES"/>
        </w:rPr>
      </w:pPr>
    </w:p>
    <w:p w14:paraId="3DE39868" w14:textId="0DD54095" w:rsidR="003D4248" w:rsidRDefault="007045BD" w:rsidP="00E0051A">
      <w:p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 xml:space="preserve">En su lugar se acuerda </w:t>
      </w:r>
      <w:r w:rsidR="003D4248" w:rsidRPr="00E0051A">
        <w:rPr>
          <w:rFonts w:ascii="Arial" w:eastAsia="Times New Roman" w:hAnsi="Arial" w:cs="Arial"/>
          <w:sz w:val="18"/>
          <w:szCs w:val="18"/>
          <w:lang w:eastAsia="es-ES"/>
        </w:rPr>
        <w:t>formaliza</w:t>
      </w:r>
      <w:r w:rsidR="00412D37" w:rsidRPr="00E0051A">
        <w:rPr>
          <w:rFonts w:ascii="Arial" w:eastAsia="Times New Roman" w:hAnsi="Arial" w:cs="Arial"/>
          <w:sz w:val="18"/>
          <w:szCs w:val="18"/>
          <w:lang w:eastAsia="es-ES"/>
        </w:rPr>
        <w:t>r</w:t>
      </w:r>
      <w:r w:rsidR="003D4248" w:rsidRPr="00E0051A">
        <w:rPr>
          <w:rFonts w:ascii="Arial" w:eastAsia="Times New Roman" w:hAnsi="Arial" w:cs="Arial"/>
          <w:sz w:val="18"/>
          <w:szCs w:val="18"/>
          <w:lang w:eastAsia="es-ES"/>
        </w:rPr>
        <w:t xml:space="preserve"> un préstamo de 20 millones de euros. La disposición de este préstamo </w:t>
      </w:r>
      <w:r w:rsidR="00412D37" w:rsidRPr="00E0051A">
        <w:rPr>
          <w:rFonts w:ascii="Arial" w:eastAsia="Times New Roman" w:hAnsi="Arial" w:cs="Arial"/>
          <w:sz w:val="18"/>
          <w:szCs w:val="18"/>
          <w:lang w:eastAsia="es-ES"/>
        </w:rPr>
        <w:t>se supedita a</w:t>
      </w:r>
      <w:r>
        <w:rPr>
          <w:rFonts w:ascii="Arial" w:eastAsia="Times New Roman" w:hAnsi="Arial" w:cs="Arial"/>
          <w:sz w:val="18"/>
          <w:szCs w:val="18"/>
          <w:lang w:eastAsia="es-ES"/>
        </w:rPr>
        <w:t xml:space="preserve"> que </w:t>
      </w:r>
      <w:r w:rsidRPr="00E0051A">
        <w:rPr>
          <w:rFonts w:ascii="Arial" w:eastAsia="Times New Roman" w:hAnsi="Arial" w:cs="Arial"/>
          <w:sz w:val="18"/>
          <w:szCs w:val="18"/>
          <w:lang w:eastAsia="es-ES"/>
        </w:rPr>
        <w:t>las entidades financieras</w:t>
      </w:r>
      <w:r w:rsidR="003D4248" w:rsidRPr="00E0051A">
        <w:rPr>
          <w:rFonts w:ascii="Arial" w:eastAsia="Times New Roman" w:hAnsi="Arial" w:cs="Arial"/>
          <w:sz w:val="18"/>
          <w:szCs w:val="18"/>
          <w:lang w:eastAsia="es-ES"/>
        </w:rPr>
        <w:t xml:space="preserve"> </w:t>
      </w:r>
      <w:r>
        <w:rPr>
          <w:rFonts w:ascii="Arial" w:eastAsia="Times New Roman" w:hAnsi="Arial" w:cs="Arial"/>
          <w:sz w:val="18"/>
          <w:szCs w:val="18"/>
          <w:lang w:eastAsia="es-ES"/>
        </w:rPr>
        <w:t>reciban</w:t>
      </w:r>
      <w:r w:rsidR="003D4248" w:rsidRPr="00E0051A">
        <w:rPr>
          <w:rFonts w:ascii="Arial" w:eastAsia="Times New Roman" w:hAnsi="Arial" w:cs="Arial"/>
          <w:sz w:val="18"/>
          <w:szCs w:val="18"/>
          <w:lang w:eastAsia="es-ES"/>
        </w:rPr>
        <w:t xml:space="preserve"> una oferta no vinculante</w:t>
      </w:r>
      <w:r w:rsidR="00412D37" w:rsidRPr="00E0051A">
        <w:rPr>
          <w:rFonts w:ascii="Arial" w:eastAsia="Times New Roman" w:hAnsi="Arial" w:cs="Arial"/>
          <w:sz w:val="18"/>
          <w:szCs w:val="18"/>
          <w:lang w:eastAsia="es-ES"/>
        </w:rPr>
        <w:t xml:space="preserve">, de un inversor industrial propuesto por </w:t>
      </w:r>
      <w:r>
        <w:rPr>
          <w:rFonts w:ascii="Arial" w:eastAsia="Times New Roman" w:hAnsi="Arial" w:cs="Arial"/>
          <w:sz w:val="18"/>
          <w:szCs w:val="18"/>
          <w:lang w:eastAsia="es-ES"/>
        </w:rPr>
        <w:t>ellas</w:t>
      </w:r>
      <w:r w:rsidR="00412D37" w:rsidRPr="00E0051A">
        <w:rPr>
          <w:rFonts w:ascii="Arial" w:eastAsia="Times New Roman" w:hAnsi="Arial" w:cs="Arial"/>
          <w:sz w:val="18"/>
          <w:szCs w:val="18"/>
          <w:lang w:eastAsia="es-ES"/>
        </w:rPr>
        <w:t xml:space="preserve">, </w:t>
      </w:r>
      <w:r>
        <w:rPr>
          <w:rFonts w:ascii="Arial" w:eastAsia="Times New Roman" w:hAnsi="Arial" w:cs="Arial"/>
          <w:sz w:val="18"/>
          <w:szCs w:val="18"/>
          <w:lang w:eastAsia="es-ES"/>
        </w:rPr>
        <w:t>para</w:t>
      </w:r>
      <w:r w:rsidR="00412D37" w:rsidRPr="00E0051A">
        <w:rPr>
          <w:rFonts w:ascii="Arial" w:eastAsia="Times New Roman" w:hAnsi="Arial" w:cs="Arial"/>
          <w:sz w:val="18"/>
          <w:szCs w:val="18"/>
          <w:lang w:eastAsia="es-ES"/>
        </w:rPr>
        <w:t xml:space="preserve"> la compra de la </w:t>
      </w:r>
      <w:r w:rsidR="006A4D57">
        <w:rPr>
          <w:rFonts w:ascii="Arial" w:eastAsia="Times New Roman" w:hAnsi="Arial" w:cs="Arial"/>
          <w:sz w:val="18"/>
          <w:szCs w:val="18"/>
          <w:lang w:eastAsia="es-ES"/>
        </w:rPr>
        <w:t xml:space="preserve">totalidad de la </w:t>
      </w:r>
      <w:r w:rsidR="00412D37" w:rsidRPr="00E0051A">
        <w:rPr>
          <w:rFonts w:ascii="Arial" w:eastAsia="Times New Roman" w:hAnsi="Arial" w:cs="Arial"/>
          <w:sz w:val="18"/>
          <w:szCs w:val="18"/>
          <w:lang w:eastAsia="es-ES"/>
        </w:rPr>
        <w:t xml:space="preserve">deuda </w:t>
      </w:r>
      <w:r w:rsidR="006A4D57">
        <w:rPr>
          <w:rFonts w:ascii="Arial" w:eastAsia="Times New Roman" w:hAnsi="Arial" w:cs="Arial"/>
          <w:sz w:val="18"/>
          <w:szCs w:val="18"/>
          <w:lang w:eastAsia="es-ES"/>
        </w:rPr>
        <w:t>financiera ostentada por</w:t>
      </w:r>
      <w:r w:rsidR="006A4D57" w:rsidRPr="00E0051A">
        <w:rPr>
          <w:rFonts w:ascii="Arial" w:eastAsia="Times New Roman" w:hAnsi="Arial" w:cs="Arial"/>
          <w:sz w:val="18"/>
          <w:szCs w:val="18"/>
          <w:lang w:eastAsia="es-ES"/>
        </w:rPr>
        <w:t xml:space="preserve"> </w:t>
      </w:r>
      <w:r w:rsidR="00412D37" w:rsidRPr="00E0051A">
        <w:rPr>
          <w:rFonts w:ascii="Arial" w:eastAsia="Times New Roman" w:hAnsi="Arial" w:cs="Arial"/>
          <w:sz w:val="18"/>
          <w:szCs w:val="18"/>
          <w:lang w:eastAsia="es-ES"/>
        </w:rPr>
        <w:t xml:space="preserve">las propias entidades. </w:t>
      </w:r>
      <w:r w:rsidR="003D4248" w:rsidRPr="00E0051A">
        <w:rPr>
          <w:rFonts w:ascii="Arial" w:eastAsia="Times New Roman" w:hAnsi="Arial" w:cs="Arial"/>
          <w:sz w:val="18"/>
          <w:szCs w:val="18"/>
          <w:lang w:eastAsia="es-ES"/>
        </w:rPr>
        <w:t>La oferta no vinculante se recibe</w:t>
      </w:r>
      <w:r w:rsidR="00517746" w:rsidRPr="00E0051A">
        <w:rPr>
          <w:rFonts w:ascii="Arial" w:eastAsia="Times New Roman" w:hAnsi="Arial" w:cs="Arial"/>
          <w:sz w:val="18"/>
          <w:szCs w:val="18"/>
          <w:lang w:eastAsia="es-ES"/>
        </w:rPr>
        <w:t>, en condiciones que no han sido facilitadas</w:t>
      </w:r>
      <w:r w:rsidR="006A4D57">
        <w:rPr>
          <w:rFonts w:ascii="Arial" w:eastAsia="Times New Roman" w:hAnsi="Arial" w:cs="Arial"/>
          <w:sz w:val="18"/>
          <w:szCs w:val="18"/>
          <w:lang w:eastAsia="es-ES"/>
        </w:rPr>
        <w:t xml:space="preserve"> a la Sociedad</w:t>
      </w:r>
      <w:r w:rsidR="00517746" w:rsidRPr="00E0051A">
        <w:rPr>
          <w:rFonts w:ascii="Arial" w:eastAsia="Times New Roman" w:hAnsi="Arial" w:cs="Arial"/>
          <w:sz w:val="18"/>
          <w:szCs w:val="18"/>
          <w:lang w:eastAsia="es-ES"/>
        </w:rPr>
        <w:t>,</w:t>
      </w:r>
      <w:r w:rsidR="003D4248" w:rsidRPr="00E0051A">
        <w:rPr>
          <w:rFonts w:ascii="Arial" w:eastAsia="Times New Roman" w:hAnsi="Arial" w:cs="Arial"/>
          <w:sz w:val="18"/>
          <w:szCs w:val="18"/>
          <w:lang w:eastAsia="es-ES"/>
        </w:rPr>
        <w:t xml:space="preserve"> </w:t>
      </w:r>
      <w:r w:rsidR="00412D37" w:rsidRPr="00E0051A">
        <w:rPr>
          <w:rFonts w:ascii="Arial" w:eastAsia="Times New Roman" w:hAnsi="Arial" w:cs="Arial"/>
          <w:sz w:val="18"/>
          <w:szCs w:val="18"/>
          <w:lang w:eastAsia="es-ES"/>
        </w:rPr>
        <w:t xml:space="preserve">y es aceptada por las entidades financieras </w:t>
      </w:r>
      <w:r w:rsidR="003D4248" w:rsidRPr="00E0051A">
        <w:rPr>
          <w:rFonts w:ascii="Arial" w:eastAsia="Times New Roman" w:hAnsi="Arial" w:cs="Arial"/>
          <w:sz w:val="18"/>
          <w:szCs w:val="18"/>
          <w:lang w:eastAsia="es-ES"/>
        </w:rPr>
        <w:t>con fecha 1</w:t>
      </w:r>
      <w:r w:rsidR="00412D37" w:rsidRPr="00E0051A">
        <w:rPr>
          <w:rFonts w:ascii="Arial" w:eastAsia="Times New Roman" w:hAnsi="Arial" w:cs="Arial"/>
          <w:sz w:val="18"/>
          <w:szCs w:val="18"/>
          <w:lang w:eastAsia="es-ES"/>
        </w:rPr>
        <w:t>4</w:t>
      </w:r>
      <w:r w:rsidR="003D4248" w:rsidRPr="00E0051A">
        <w:rPr>
          <w:rFonts w:ascii="Arial" w:eastAsia="Times New Roman" w:hAnsi="Arial" w:cs="Arial"/>
          <w:sz w:val="18"/>
          <w:szCs w:val="18"/>
          <w:lang w:eastAsia="es-ES"/>
        </w:rPr>
        <w:t xml:space="preserve"> de agosto, </w:t>
      </w:r>
      <w:r w:rsidR="00412D37" w:rsidRPr="00E0051A">
        <w:rPr>
          <w:rFonts w:ascii="Arial" w:eastAsia="Times New Roman" w:hAnsi="Arial" w:cs="Arial"/>
          <w:sz w:val="18"/>
          <w:szCs w:val="18"/>
          <w:lang w:eastAsia="es-ES"/>
        </w:rPr>
        <w:t xml:space="preserve">y el 16 de agosto </w:t>
      </w:r>
      <w:r w:rsidR="003D4248" w:rsidRPr="00E0051A">
        <w:rPr>
          <w:rFonts w:ascii="Arial" w:eastAsia="Times New Roman" w:hAnsi="Arial" w:cs="Arial"/>
          <w:sz w:val="18"/>
          <w:szCs w:val="18"/>
          <w:lang w:eastAsia="es-ES"/>
        </w:rPr>
        <w:t xml:space="preserve">se formaliza el préstamo y se empieza a disponer del mismo. </w:t>
      </w:r>
    </w:p>
    <w:p w14:paraId="491B54CB" w14:textId="77777777" w:rsidR="00C469ED" w:rsidRDefault="00C469ED" w:rsidP="00E0051A">
      <w:pPr>
        <w:autoSpaceDE w:val="0"/>
        <w:autoSpaceDN w:val="0"/>
        <w:adjustRightInd w:val="0"/>
        <w:spacing w:after="0" w:line="240" w:lineRule="auto"/>
        <w:jc w:val="both"/>
        <w:rPr>
          <w:rFonts w:ascii="Arial" w:eastAsia="Times New Roman" w:hAnsi="Arial" w:cs="Arial"/>
          <w:sz w:val="18"/>
          <w:szCs w:val="18"/>
          <w:lang w:eastAsia="es-ES"/>
        </w:rPr>
      </w:pPr>
    </w:p>
    <w:p w14:paraId="00CD5F05" w14:textId="701FC4FE" w:rsidR="003D4248" w:rsidRDefault="003D4248"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 xml:space="preserve">Con fecha 5 de septiembre, </w:t>
      </w:r>
      <w:r w:rsidR="006E3406">
        <w:rPr>
          <w:rFonts w:ascii="Arial" w:eastAsia="Times New Roman" w:hAnsi="Arial" w:cs="Arial"/>
          <w:sz w:val="18"/>
          <w:szCs w:val="18"/>
          <w:lang w:eastAsia="es-ES"/>
        </w:rPr>
        <w:t xml:space="preserve">la Sociedad ha comunicado a los Mercados que </w:t>
      </w:r>
      <w:r w:rsidRPr="00E0051A">
        <w:rPr>
          <w:rFonts w:ascii="Arial" w:eastAsia="Times New Roman" w:hAnsi="Arial" w:cs="Arial"/>
          <w:sz w:val="18"/>
          <w:szCs w:val="18"/>
          <w:lang w:eastAsia="es-ES"/>
        </w:rPr>
        <w:t>las entidades financieras ha</w:t>
      </w:r>
      <w:r w:rsidR="006E3406">
        <w:rPr>
          <w:rFonts w:ascii="Arial" w:eastAsia="Times New Roman" w:hAnsi="Arial" w:cs="Arial"/>
          <w:sz w:val="18"/>
          <w:szCs w:val="18"/>
          <w:lang w:eastAsia="es-ES"/>
        </w:rPr>
        <w:t>bían</w:t>
      </w:r>
      <w:r w:rsidRPr="00E0051A">
        <w:rPr>
          <w:rFonts w:ascii="Arial" w:eastAsia="Times New Roman" w:hAnsi="Arial" w:cs="Arial"/>
          <w:sz w:val="18"/>
          <w:szCs w:val="18"/>
          <w:lang w:eastAsia="es-ES"/>
        </w:rPr>
        <w:t xml:space="preserve"> solicitado que facilite la información que requiera el Oferente para la ejecución de una </w:t>
      </w:r>
      <w:proofErr w:type="spellStart"/>
      <w:r w:rsidRPr="00E0051A">
        <w:rPr>
          <w:rFonts w:ascii="Arial" w:eastAsia="Times New Roman" w:hAnsi="Arial" w:cs="Arial"/>
          <w:sz w:val="18"/>
          <w:szCs w:val="18"/>
          <w:lang w:eastAsia="es-ES"/>
        </w:rPr>
        <w:t>Due</w:t>
      </w:r>
      <w:proofErr w:type="spellEnd"/>
      <w:r w:rsidRPr="00E0051A">
        <w:rPr>
          <w:rFonts w:ascii="Arial" w:eastAsia="Times New Roman" w:hAnsi="Arial" w:cs="Arial"/>
          <w:sz w:val="18"/>
          <w:szCs w:val="18"/>
          <w:lang w:eastAsia="es-ES"/>
        </w:rPr>
        <w:t xml:space="preserve"> </w:t>
      </w:r>
      <w:proofErr w:type="spellStart"/>
      <w:r w:rsidRPr="00E0051A">
        <w:rPr>
          <w:rFonts w:ascii="Arial" w:eastAsia="Times New Roman" w:hAnsi="Arial" w:cs="Arial"/>
          <w:sz w:val="18"/>
          <w:szCs w:val="18"/>
          <w:lang w:eastAsia="es-ES"/>
        </w:rPr>
        <w:t>Diligen</w:t>
      </w:r>
      <w:r w:rsidR="00517746" w:rsidRPr="00E0051A">
        <w:rPr>
          <w:rFonts w:ascii="Arial" w:eastAsia="Times New Roman" w:hAnsi="Arial" w:cs="Arial"/>
          <w:sz w:val="18"/>
          <w:szCs w:val="18"/>
          <w:lang w:eastAsia="es-ES"/>
        </w:rPr>
        <w:t>c</w:t>
      </w:r>
      <w:r w:rsidRPr="00E0051A">
        <w:rPr>
          <w:rFonts w:ascii="Arial" w:eastAsia="Times New Roman" w:hAnsi="Arial" w:cs="Arial"/>
          <w:sz w:val="18"/>
          <w:szCs w:val="18"/>
          <w:lang w:eastAsia="es-ES"/>
        </w:rPr>
        <w:t>e</w:t>
      </w:r>
      <w:proofErr w:type="spellEnd"/>
      <w:r w:rsidRPr="00E0051A">
        <w:rPr>
          <w:rFonts w:ascii="Arial" w:eastAsia="Times New Roman" w:hAnsi="Arial" w:cs="Arial"/>
          <w:sz w:val="18"/>
          <w:szCs w:val="18"/>
          <w:lang w:eastAsia="es-ES"/>
        </w:rPr>
        <w:t xml:space="preserve"> que conduzca a una Oferta Vinculante. El Oferente ha comunicado formalmente a la Sociedad la voluntad inicial de adquirir la totalidad de la deuda financiera del Grupo para su capitalización </w:t>
      </w:r>
      <w:r w:rsidR="006E3406">
        <w:rPr>
          <w:rFonts w:ascii="Arial" w:eastAsia="Times New Roman" w:hAnsi="Arial" w:cs="Arial"/>
          <w:sz w:val="18"/>
          <w:szCs w:val="18"/>
          <w:lang w:eastAsia="es-ES"/>
        </w:rPr>
        <w:t xml:space="preserve">lo </w:t>
      </w:r>
      <w:r w:rsidRPr="00E0051A">
        <w:rPr>
          <w:rFonts w:ascii="Arial" w:eastAsia="Times New Roman" w:hAnsi="Arial" w:cs="Arial"/>
          <w:sz w:val="18"/>
          <w:szCs w:val="18"/>
          <w:lang w:eastAsia="es-ES"/>
        </w:rPr>
        <w:t>que supondría una significativa y relevante dilución para los accionistas. Dicha capitalización se sometería al régimen de dispensa de obligación de realizar una oferta pública de adquisición prevista en el artículo 8.1 del Real Decreto 1066/2007, de 27 de julio, sobre el régimen de las ofertas públicas de adquisición de valores. Una operación como la planteada, supondría la desaparición de la deuda financiera del Grupo que resolvería de forma definitiva el problema de endeudamiento estructural que arrastra el Grupo y contribuiría a construir un grupo líder multicanal en Europa en el espacio de las soluciones para el entorno de trabajo. Esta operación que conduciría a una concentración empresarial estaría sujeta a normativa comunitaria y a la regulación española de Mercado de Valores.</w:t>
      </w:r>
    </w:p>
    <w:p w14:paraId="61C2EC66"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0DF3FDFE" w14:textId="77777777" w:rsidR="003D4248" w:rsidRDefault="003D4248" w:rsidP="00E0051A">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 xml:space="preserve">Con fecha 7 de septiembre se comunica a través de Hecho Relevante que el inversor industrial que ha realizado al sindicato bancario una propuesta no vinculante para la adquisición de la totalidad de la deuda financiera del Grupo es la entidad Staples </w:t>
      </w:r>
      <w:proofErr w:type="spellStart"/>
      <w:r w:rsidRPr="00E0051A">
        <w:rPr>
          <w:rFonts w:ascii="Arial" w:eastAsia="Times New Roman" w:hAnsi="Arial" w:cs="Arial"/>
          <w:sz w:val="18"/>
          <w:szCs w:val="18"/>
          <w:lang w:eastAsia="es-ES"/>
        </w:rPr>
        <w:t>Solutions</w:t>
      </w:r>
      <w:proofErr w:type="spellEnd"/>
      <w:r w:rsidRPr="00E0051A">
        <w:rPr>
          <w:rFonts w:ascii="Arial" w:eastAsia="Times New Roman" w:hAnsi="Arial" w:cs="Arial"/>
          <w:sz w:val="18"/>
          <w:szCs w:val="18"/>
          <w:lang w:eastAsia="es-ES"/>
        </w:rPr>
        <w:t xml:space="preserve"> B.V., con sede social en Holanda.</w:t>
      </w:r>
    </w:p>
    <w:p w14:paraId="6463BEA8" w14:textId="77777777" w:rsidR="006E3406" w:rsidRDefault="006E3406" w:rsidP="00E0051A">
      <w:pPr>
        <w:autoSpaceDE w:val="0"/>
        <w:autoSpaceDN w:val="0"/>
        <w:adjustRightInd w:val="0"/>
        <w:spacing w:after="0" w:line="240" w:lineRule="auto"/>
        <w:jc w:val="both"/>
        <w:rPr>
          <w:rFonts w:ascii="Arial" w:eastAsia="Times New Roman" w:hAnsi="Arial" w:cs="Arial"/>
          <w:sz w:val="18"/>
          <w:szCs w:val="18"/>
          <w:lang w:eastAsia="es-ES"/>
        </w:rPr>
      </w:pPr>
    </w:p>
    <w:p w14:paraId="61961483" w14:textId="77777777" w:rsidR="006E3406" w:rsidRDefault="006E3406" w:rsidP="006E3406">
      <w:pPr>
        <w:autoSpaceDE w:val="0"/>
        <w:autoSpaceDN w:val="0"/>
        <w:adjustRightInd w:val="0"/>
        <w:spacing w:after="0" w:line="240" w:lineRule="auto"/>
        <w:jc w:val="both"/>
        <w:rPr>
          <w:rFonts w:ascii="Arial" w:eastAsia="Times New Roman" w:hAnsi="Arial" w:cs="Arial"/>
          <w:sz w:val="18"/>
          <w:szCs w:val="18"/>
          <w:lang w:eastAsia="es-ES"/>
        </w:rPr>
      </w:pPr>
      <w:r w:rsidRPr="00E0051A">
        <w:rPr>
          <w:rFonts w:ascii="Arial" w:eastAsia="Times New Roman" w:hAnsi="Arial" w:cs="Arial"/>
          <w:sz w:val="18"/>
          <w:szCs w:val="18"/>
          <w:lang w:eastAsia="es-ES"/>
        </w:rPr>
        <w:t xml:space="preserve">Adicionalmente con fecha 25 de julio se ha suscrito un </w:t>
      </w:r>
      <w:r>
        <w:rPr>
          <w:rFonts w:ascii="Arial" w:eastAsia="Times New Roman" w:hAnsi="Arial" w:cs="Arial"/>
          <w:sz w:val="18"/>
          <w:szCs w:val="18"/>
          <w:lang w:eastAsia="es-ES"/>
        </w:rPr>
        <w:t>contrato</w:t>
      </w:r>
      <w:r w:rsidRPr="00E0051A">
        <w:rPr>
          <w:rFonts w:ascii="Arial" w:eastAsia="Times New Roman" w:hAnsi="Arial" w:cs="Arial"/>
          <w:sz w:val="18"/>
          <w:szCs w:val="18"/>
          <w:lang w:eastAsia="es-ES"/>
        </w:rPr>
        <w:t xml:space="preserve"> de opción de compra del almacén de Tres Cantos (Madrid) por un importe de 22 millones de euros, que está previsto que se haga efectivo no más tarde del 2 de octubre de 2018 y que supondría una plusvalía de 6,7 millones de euros aproximadamente.</w:t>
      </w:r>
    </w:p>
    <w:p w14:paraId="559DCB7E" w14:textId="77777777" w:rsidR="006E3406" w:rsidRDefault="006E3406" w:rsidP="00E0051A">
      <w:pPr>
        <w:autoSpaceDE w:val="0"/>
        <w:autoSpaceDN w:val="0"/>
        <w:adjustRightInd w:val="0"/>
        <w:spacing w:after="0" w:line="240" w:lineRule="auto"/>
        <w:jc w:val="both"/>
        <w:rPr>
          <w:rFonts w:ascii="Arial" w:eastAsia="Times New Roman" w:hAnsi="Arial" w:cs="Arial"/>
          <w:sz w:val="18"/>
          <w:szCs w:val="18"/>
          <w:lang w:eastAsia="es-ES"/>
        </w:rPr>
      </w:pPr>
    </w:p>
    <w:p w14:paraId="21947BD0" w14:textId="77777777" w:rsidR="00E0051A" w:rsidRPr="00E0051A" w:rsidRDefault="00E0051A" w:rsidP="00E0051A">
      <w:pPr>
        <w:autoSpaceDE w:val="0"/>
        <w:autoSpaceDN w:val="0"/>
        <w:adjustRightInd w:val="0"/>
        <w:spacing w:after="0" w:line="240" w:lineRule="auto"/>
        <w:jc w:val="both"/>
        <w:rPr>
          <w:rFonts w:ascii="Arial" w:eastAsia="Times New Roman" w:hAnsi="Arial" w:cs="Arial"/>
          <w:sz w:val="18"/>
          <w:szCs w:val="18"/>
          <w:lang w:eastAsia="es-ES"/>
        </w:rPr>
      </w:pPr>
    </w:p>
    <w:p w14:paraId="585EA8A3" w14:textId="77777777" w:rsidR="003D4248" w:rsidRPr="00955AB2" w:rsidRDefault="003D4248" w:rsidP="003D4248">
      <w:pPr>
        <w:jc w:val="both"/>
        <w:rPr>
          <w:rFonts w:ascii="Arial" w:hAnsi="Arial" w:cs="Arial"/>
          <w:b/>
          <w:color w:val="000000"/>
          <w:sz w:val="18"/>
          <w:szCs w:val="18"/>
        </w:rPr>
      </w:pPr>
      <w:r>
        <w:rPr>
          <w:rFonts w:ascii="Arial" w:hAnsi="Arial" w:cs="Arial"/>
          <w:b/>
          <w:sz w:val="18"/>
          <w:szCs w:val="18"/>
        </w:rPr>
        <w:t>11</w:t>
      </w:r>
      <w:r w:rsidRPr="00955AB2">
        <w:rPr>
          <w:rFonts w:ascii="Arial" w:hAnsi="Arial" w:cs="Arial"/>
          <w:b/>
          <w:sz w:val="18"/>
          <w:szCs w:val="18"/>
        </w:rPr>
        <w:t xml:space="preserve">.- Información cualitativa y cuantitativa de los cambios en el activo y pasivo del </w:t>
      </w:r>
      <w:r w:rsidRPr="00955AB2">
        <w:rPr>
          <w:rFonts w:ascii="Arial" w:hAnsi="Arial" w:cs="Arial"/>
          <w:b/>
          <w:color w:val="000000"/>
          <w:sz w:val="18"/>
          <w:szCs w:val="18"/>
        </w:rPr>
        <w:t xml:space="preserve">Grupo </w:t>
      </w:r>
    </w:p>
    <w:p w14:paraId="42785965" w14:textId="77777777" w:rsidR="003D4248" w:rsidRDefault="003D4248" w:rsidP="003D4248">
      <w:pPr>
        <w:numPr>
          <w:ilvl w:val="0"/>
          <w:numId w:val="4"/>
        </w:numPr>
        <w:spacing w:after="0" w:line="240" w:lineRule="auto"/>
        <w:ind w:left="426" w:hanging="284"/>
        <w:jc w:val="both"/>
        <w:rPr>
          <w:rFonts w:ascii="Arial" w:hAnsi="Arial" w:cs="Arial"/>
          <w:color w:val="000000"/>
          <w:sz w:val="18"/>
          <w:szCs w:val="18"/>
        </w:rPr>
      </w:pPr>
      <w:r>
        <w:rPr>
          <w:rFonts w:ascii="Arial" w:hAnsi="Arial" w:cs="Arial"/>
          <w:color w:val="000000"/>
          <w:sz w:val="18"/>
          <w:szCs w:val="18"/>
        </w:rPr>
        <w:t>Fondo de Comercio y otros activos intangibles</w:t>
      </w:r>
    </w:p>
    <w:p w14:paraId="1E0A4BEA" w14:textId="77777777" w:rsidR="003D4248" w:rsidRDefault="003D4248" w:rsidP="003D4248">
      <w:pPr>
        <w:spacing w:after="0" w:line="240" w:lineRule="auto"/>
        <w:ind w:left="426"/>
        <w:jc w:val="both"/>
        <w:rPr>
          <w:rFonts w:ascii="Arial" w:hAnsi="Arial" w:cs="Arial"/>
          <w:color w:val="000000"/>
          <w:sz w:val="18"/>
          <w:szCs w:val="18"/>
        </w:rPr>
      </w:pPr>
    </w:p>
    <w:p w14:paraId="0C0F09C8" w14:textId="77777777" w:rsidR="003965A6" w:rsidRPr="0042048D" w:rsidRDefault="003965A6" w:rsidP="0042048D">
      <w:pPr>
        <w:autoSpaceDE w:val="0"/>
        <w:autoSpaceDN w:val="0"/>
        <w:adjustRightInd w:val="0"/>
        <w:spacing w:after="0" w:line="240" w:lineRule="auto"/>
        <w:ind w:left="426"/>
        <w:jc w:val="both"/>
        <w:rPr>
          <w:rFonts w:ascii="Arial" w:eastAsia="Times New Roman" w:hAnsi="Arial" w:cs="Arial"/>
          <w:sz w:val="18"/>
          <w:szCs w:val="18"/>
          <w:lang w:eastAsia="es-ES"/>
        </w:rPr>
      </w:pPr>
      <w:r w:rsidRPr="0042048D">
        <w:rPr>
          <w:rFonts w:ascii="Arial" w:eastAsia="Times New Roman" w:hAnsi="Arial" w:cs="Arial"/>
          <w:sz w:val="18"/>
          <w:szCs w:val="18"/>
          <w:lang w:eastAsia="es-ES"/>
        </w:rPr>
        <w:t>Durante los seis primeros meses del ejercicio 2017 no se ha producido ningún deterioro significativo relativo a fondos de comercio.</w:t>
      </w:r>
    </w:p>
    <w:p w14:paraId="37F6F2DB" w14:textId="77777777" w:rsidR="00B26BAD" w:rsidRDefault="00B26BAD" w:rsidP="003965A6">
      <w:pPr>
        <w:spacing w:after="0" w:line="240" w:lineRule="auto"/>
        <w:jc w:val="both"/>
        <w:rPr>
          <w:rFonts w:ascii="Arial" w:hAnsi="Arial" w:cs="Arial"/>
          <w:color w:val="000000"/>
          <w:sz w:val="18"/>
          <w:szCs w:val="18"/>
        </w:rPr>
      </w:pPr>
    </w:p>
    <w:p w14:paraId="17CF940D" w14:textId="77777777" w:rsidR="003D4248" w:rsidRPr="0042048D" w:rsidRDefault="003D4248" w:rsidP="0042048D">
      <w:pPr>
        <w:autoSpaceDE w:val="0"/>
        <w:autoSpaceDN w:val="0"/>
        <w:adjustRightInd w:val="0"/>
        <w:spacing w:after="0" w:line="240" w:lineRule="auto"/>
        <w:ind w:left="426"/>
        <w:jc w:val="both"/>
        <w:rPr>
          <w:rFonts w:ascii="Arial" w:eastAsia="Times New Roman" w:hAnsi="Arial" w:cs="Arial"/>
          <w:sz w:val="18"/>
          <w:szCs w:val="18"/>
          <w:lang w:eastAsia="es-ES"/>
        </w:rPr>
      </w:pPr>
      <w:r w:rsidRPr="0042048D">
        <w:rPr>
          <w:rFonts w:ascii="Arial" w:eastAsia="Times New Roman" w:hAnsi="Arial" w:cs="Arial"/>
          <w:sz w:val="18"/>
          <w:szCs w:val="18"/>
          <w:lang w:eastAsia="es-ES"/>
        </w:rPr>
        <w:t>El detalle del Fondo de Comercio distribuido por las unidades generadoras de efectivo a las que se encuentran afectas es el siguiente:</w:t>
      </w:r>
    </w:p>
    <w:p w14:paraId="116F7E0F" w14:textId="77777777" w:rsidR="003965A6" w:rsidRDefault="003965A6" w:rsidP="003D4248">
      <w:pPr>
        <w:spacing w:after="0" w:line="240" w:lineRule="auto"/>
        <w:ind w:left="426"/>
        <w:jc w:val="both"/>
        <w:rPr>
          <w:rFonts w:ascii="Arial" w:hAnsi="Arial" w:cs="Arial"/>
          <w:color w:val="000000"/>
          <w:sz w:val="18"/>
          <w:szCs w:val="18"/>
        </w:rPr>
      </w:pPr>
    </w:p>
    <w:p w14:paraId="7D43B5ED" w14:textId="77777777" w:rsidR="003D4248" w:rsidRDefault="003D4248" w:rsidP="003D4248">
      <w:pPr>
        <w:spacing w:after="0" w:line="240" w:lineRule="auto"/>
        <w:ind w:left="426"/>
        <w:jc w:val="both"/>
        <w:rPr>
          <w:rFonts w:ascii="Arial" w:hAnsi="Arial" w:cs="Arial"/>
          <w:color w:val="000000"/>
          <w:sz w:val="18"/>
          <w:szCs w:val="18"/>
        </w:rPr>
      </w:pPr>
    </w:p>
    <w:tbl>
      <w:tblPr>
        <w:tblW w:w="7140" w:type="dxa"/>
        <w:jc w:val="center"/>
        <w:tblLook w:val="04A0" w:firstRow="1" w:lastRow="0" w:firstColumn="1" w:lastColumn="0" w:noHBand="0" w:noVBand="1"/>
      </w:tblPr>
      <w:tblGrid>
        <w:gridCol w:w="4380"/>
        <w:gridCol w:w="1282"/>
        <w:gridCol w:w="1478"/>
      </w:tblGrid>
      <w:tr w:rsidR="003D4248" w:rsidRPr="00007048" w14:paraId="346937DC" w14:textId="77777777" w:rsidTr="007A74E1">
        <w:trPr>
          <w:trHeight w:val="300"/>
          <w:jc w:val="center"/>
        </w:trPr>
        <w:tc>
          <w:tcPr>
            <w:tcW w:w="4380" w:type="dxa"/>
            <w:tcBorders>
              <w:top w:val="single" w:sz="4" w:space="0" w:color="auto"/>
              <w:left w:val="single" w:sz="4" w:space="0" w:color="auto"/>
              <w:bottom w:val="nil"/>
              <w:right w:val="nil"/>
            </w:tcBorders>
            <w:shd w:val="clear" w:color="auto" w:fill="auto"/>
            <w:noWrap/>
            <w:vAlign w:val="bottom"/>
            <w:hideMark/>
          </w:tcPr>
          <w:p w14:paraId="29A732F2" w14:textId="77777777" w:rsidR="003D4248" w:rsidRPr="00007048" w:rsidRDefault="003D4248" w:rsidP="007A74E1">
            <w:pPr>
              <w:spacing w:after="0" w:line="240" w:lineRule="auto"/>
              <w:rPr>
                <w:rFonts w:ascii="Arial" w:eastAsia="Times New Roman" w:hAnsi="Arial" w:cs="Arial"/>
                <w:color w:val="000000"/>
                <w:sz w:val="18"/>
                <w:szCs w:val="18"/>
                <w:lang w:eastAsia="en-GB"/>
              </w:rPr>
            </w:pPr>
            <w:r w:rsidRPr="00007048">
              <w:rPr>
                <w:rFonts w:ascii="Arial" w:eastAsia="Times New Roman" w:hAnsi="Arial" w:cs="Arial"/>
                <w:color w:val="000000"/>
                <w:sz w:val="18"/>
                <w:szCs w:val="18"/>
                <w:lang w:eastAsia="en-GB"/>
              </w:rPr>
              <w:t> </w:t>
            </w:r>
          </w:p>
        </w:tc>
        <w:tc>
          <w:tcPr>
            <w:tcW w:w="27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0E5A2C7C" w14:textId="77777777" w:rsidR="003D4248" w:rsidRPr="00007048" w:rsidRDefault="003D4248" w:rsidP="007A74E1">
            <w:pPr>
              <w:spacing w:after="0" w:line="240" w:lineRule="auto"/>
              <w:jc w:val="center"/>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Miles de Euros</w:t>
            </w:r>
          </w:p>
        </w:tc>
      </w:tr>
      <w:tr w:rsidR="003D4248" w:rsidRPr="00007048" w14:paraId="4868FCBC" w14:textId="77777777" w:rsidTr="007A74E1">
        <w:trPr>
          <w:trHeight w:val="300"/>
          <w:jc w:val="center"/>
        </w:trPr>
        <w:tc>
          <w:tcPr>
            <w:tcW w:w="4380" w:type="dxa"/>
            <w:tcBorders>
              <w:top w:val="nil"/>
              <w:left w:val="single" w:sz="4" w:space="0" w:color="auto"/>
              <w:bottom w:val="single" w:sz="4" w:space="0" w:color="auto"/>
              <w:right w:val="nil"/>
            </w:tcBorders>
            <w:shd w:val="clear" w:color="auto" w:fill="auto"/>
            <w:noWrap/>
            <w:vAlign w:val="bottom"/>
            <w:hideMark/>
          </w:tcPr>
          <w:p w14:paraId="4390D035" w14:textId="77777777" w:rsidR="003D4248" w:rsidRPr="00007048" w:rsidRDefault="003D4248" w:rsidP="007A74E1">
            <w:pPr>
              <w:spacing w:after="0" w:line="240" w:lineRule="auto"/>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 </w:t>
            </w:r>
          </w:p>
        </w:tc>
        <w:tc>
          <w:tcPr>
            <w:tcW w:w="1282" w:type="dxa"/>
            <w:tcBorders>
              <w:top w:val="nil"/>
              <w:left w:val="single" w:sz="4" w:space="0" w:color="auto"/>
              <w:bottom w:val="single" w:sz="4" w:space="0" w:color="auto"/>
              <w:right w:val="nil"/>
            </w:tcBorders>
            <w:shd w:val="clear" w:color="auto" w:fill="auto"/>
            <w:noWrap/>
            <w:vAlign w:val="bottom"/>
            <w:hideMark/>
          </w:tcPr>
          <w:p w14:paraId="25906091" w14:textId="77777777" w:rsidR="003D4248" w:rsidRPr="00007048" w:rsidRDefault="003D4248" w:rsidP="007A74E1">
            <w:pPr>
              <w:spacing w:after="0" w:line="240" w:lineRule="auto"/>
              <w:jc w:val="center"/>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30-</w:t>
            </w:r>
            <w:r w:rsidR="00C33EB4">
              <w:rPr>
                <w:rFonts w:ascii="Arial" w:eastAsia="Times New Roman" w:hAnsi="Arial" w:cs="Arial"/>
                <w:color w:val="000000"/>
                <w:sz w:val="18"/>
                <w:szCs w:val="18"/>
                <w:lang w:val="en-GB" w:eastAsia="en-GB"/>
              </w:rPr>
              <w:t>06-18</w:t>
            </w:r>
          </w:p>
        </w:tc>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2ED54FF4" w14:textId="0A2BB549" w:rsidR="003D4248" w:rsidRPr="00007048" w:rsidRDefault="00D404C8" w:rsidP="007A74E1">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31-12-17</w:t>
            </w:r>
          </w:p>
        </w:tc>
      </w:tr>
      <w:tr w:rsidR="003D4248" w:rsidRPr="00007048" w14:paraId="2D5238F1" w14:textId="77777777" w:rsidTr="007A74E1">
        <w:trPr>
          <w:trHeight w:val="300"/>
          <w:jc w:val="center"/>
        </w:trPr>
        <w:tc>
          <w:tcPr>
            <w:tcW w:w="4380" w:type="dxa"/>
            <w:tcBorders>
              <w:top w:val="nil"/>
              <w:left w:val="single" w:sz="4" w:space="0" w:color="auto"/>
              <w:bottom w:val="nil"/>
              <w:right w:val="nil"/>
            </w:tcBorders>
            <w:shd w:val="clear" w:color="auto" w:fill="auto"/>
            <w:noWrap/>
            <w:vAlign w:val="bottom"/>
            <w:hideMark/>
          </w:tcPr>
          <w:p w14:paraId="7EB4A1DE" w14:textId="77777777" w:rsidR="003D4248" w:rsidRPr="00007048" w:rsidRDefault="003D4248" w:rsidP="007A74E1">
            <w:pPr>
              <w:spacing w:after="0" w:line="240" w:lineRule="auto"/>
              <w:rPr>
                <w:rFonts w:ascii="Arial" w:eastAsia="Times New Roman" w:hAnsi="Arial" w:cs="Arial"/>
                <w:color w:val="000000"/>
                <w:sz w:val="18"/>
                <w:szCs w:val="18"/>
                <w:lang w:val="es-ES_tradnl" w:eastAsia="en-GB"/>
              </w:rPr>
            </w:pPr>
            <w:r w:rsidRPr="00007048">
              <w:rPr>
                <w:rFonts w:ascii="Arial" w:eastAsia="Times New Roman" w:hAnsi="Arial" w:cs="Arial"/>
                <w:color w:val="000000"/>
                <w:sz w:val="18"/>
                <w:szCs w:val="18"/>
                <w:lang w:val="es-ES_tradnl" w:eastAsia="en-GB"/>
              </w:rPr>
              <w:t>Unidad generadora de efectivo:</w:t>
            </w:r>
          </w:p>
        </w:tc>
        <w:tc>
          <w:tcPr>
            <w:tcW w:w="1282" w:type="dxa"/>
            <w:tcBorders>
              <w:top w:val="nil"/>
              <w:left w:val="single" w:sz="4" w:space="0" w:color="auto"/>
              <w:bottom w:val="nil"/>
              <w:right w:val="nil"/>
            </w:tcBorders>
            <w:shd w:val="clear" w:color="auto" w:fill="auto"/>
            <w:noWrap/>
            <w:vAlign w:val="bottom"/>
            <w:hideMark/>
          </w:tcPr>
          <w:p w14:paraId="72B2BF3A" w14:textId="77777777" w:rsidR="003D4248" w:rsidRPr="00007048" w:rsidRDefault="003D4248" w:rsidP="007A74E1">
            <w:pPr>
              <w:spacing w:after="0" w:line="240" w:lineRule="auto"/>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 </w:t>
            </w:r>
          </w:p>
        </w:tc>
        <w:tc>
          <w:tcPr>
            <w:tcW w:w="1478" w:type="dxa"/>
            <w:tcBorders>
              <w:top w:val="nil"/>
              <w:left w:val="single" w:sz="4" w:space="0" w:color="auto"/>
              <w:bottom w:val="nil"/>
              <w:right w:val="single" w:sz="4" w:space="0" w:color="auto"/>
            </w:tcBorders>
            <w:shd w:val="clear" w:color="auto" w:fill="auto"/>
            <w:noWrap/>
            <w:vAlign w:val="bottom"/>
            <w:hideMark/>
          </w:tcPr>
          <w:p w14:paraId="4E5EFE65" w14:textId="77777777" w:rsidR="003D4248" w:rsidRPr="00007048" w:rsidRDefault="003D4248" w:rsidP="007A74E1">
            <w:pPr>
              <w:spacing w:after="0" w:line="240" w:lineRule="auto"/>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 </w:t>
            </w:r>
          </w:p>
        </w:tc>
      </w:tr>
      <w:tr w:rsidR="003D4248" w:rsidRPr="00007048" w14:paraId="3DD5A880" w14:textId="77777777" w:rsidTr="007A74E1">
        <w:trPr>
          <w:trHeight w:val="300"/>
          <w:jc w:val="center"/>
        </w:trPr>
        <w:tc>
          <w:tcPr>
            <w:tcW w:w="4380" w:type="dxa"/>
            <w:tcBorders>
              <w:top w:val="nil"/>
              <w:left w:val="single" w:sz="4" w:space="0" w:color="auto"/>
              <w:bottom w:val="nil"/>
              <w:right w:val="nil"/>
            </w:tcBorders>
            <w:shd w:val="clear" w:color="auto" w:fill="auto"/>
            <w:noWrap/>
            <w:vAlign w:val="bottom"/>
            <w:hideMark/>
          </w:tcPr>
          <w:p w14:paraId="465F3DA2" w14:textId="77777777" w:rsidR="003D4248" w:rsidRPr="00007048" w:rsidRDefault="003D4248" w:rsidP="007A74E1">
            <w:pPr>
              <w:spacing w:after="0" w:line="240" w:lineRule="auto"/>
              <w:rPr>
                <w:rFonts w:ascii="Arial" w:eastAsia="Times New Roman" w:hAnsi="Arial" w:cs="Arial"/>
                <w:color w:val="000000"/>
                <w:sz w:val="18"/>
                <w:szCs w:val="18"/>
                <w:lang w:eastAsia="en-GB"/>
              </w:rPr>
            </w:pPr>
            <w:r w:rsidRPr="00007048">
              <w:rPr>
                <w:rFonts w:ascii="Arial" w:eastAsia="Times New Roman" w:hAnsi="Arial" w:cs="Arial"/>
                <w:color w:val="000000"/>
                <w:sz w:val="18"/>
                <w:szCs w:val="18"/>
                <w:lang w:eastAsia="en-GB"/>
              </w:rPr>
              <w:t>Negocio de Distribución en Francia</w:t>
            </w:r>
          </w:p>
        </w:tc>
        <w:tc>
          <w:tcPr>
            <w:tcW w:w="1282" w:type="dxa"/>
            <w:tcBorders>
              <w:top w:val="nil"/>
              <w:left w:val="single" w:sz="4" w:space="0" w:color="auto"/>
              <w:bottom w:val="nil"/>
              <w:right w:val="nil"/>
            </w:tcBorders>
            <w:shd w:val="clear" w:color="auto" w:fill="auto"/>
            <w:noWrap/>
            <w:vAlign w:val="bottom"/>
            <w:hideMark/>
          </w:tcPr>
          <w:p w14:paraId="4ECC3FA6" w14:textId="77777777" w:rsidR="003D4248" w:rsidRPr="00007048" w:rsidRDefault="003D4248" w:rsidP="007A74E1">
            <w:pPr>
              <w:spacing w:after="0" w:line="240" w:lineRule="auto"/>
              <w:jc w:val="right"/>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64.485</w:t>
            </w:r>
          </w:p>
        </w:tc>
        <w:tc>
          <w:tcPr>
            <w:tcW w:w="1478" w:type="dxa"/>
            <w:tcBorders>
              <w:top w:val="nil"/>
              <w:left w:val="single" w:sz="4" w:space="0" w:color="auto"/>
              <w:bottom w:val="nil"/>
              <w:right w:val="single" w:sz="4" w:space="0" w:color="auto"/>
            </w:tcBorders>
            <w:shd w:val="clear" w:color="auto" w:fill="auto"/>
            <w:noWrap/>
            <w:vAlign w:val="bottom"/>
            <w:hideMark/>
          </w:tcPr>
          <w:p w14:paraId="0CB2AE4E" w14:textId="77777777" w:rsidR="003D4248" w:rsidRPr="00007048" w:rsidRDefault="003D4248" w:rsidP="007A74E1">
            <w:pPr>
              <w:spacing w:after="0" w:line="240" w:lineRule="auto"/>
              <w:jc w:val="right"/>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64.485</w:t>
            </w:r>
          </w:p>
        </w:tc>
      </w:tr>
      <w:tr w:rsidR="00C33EB4" w:rsidRPr="00007048" w14:paraId="41BE75D5" w14:textId="77777777" w:rsidTr="007A74E1">
        <w:trPr>
          <w:trHeight w:val="300"/>
          <w:jc w:val="center"/>
        </w:trPr>
        <w:tc>
          <w:tcPr>
            <w:tcW w:w="4380" w:type="dxa"/>
            <w:tcBorders>
              <w:top w:val="nil"/>
              <w:left w:val="single" w:sz="4" w:space="0" w:color="auto"/>
              <w:bottom w:val="nil"/>
              <w:right w:val="nil"/>
            </w:tcBorders>
            <w:shd w:val="clear" w:color="auto" w:fill="auto"/>
            <w:noWrap/>
            <w:vAlign w:val="bottom"/>
            <w:hideMark/>
          </w:tcPr>
          <w:p w14:paraId="48ADF8E3" w14:textId="77777777" w:rsidR="00C33EB4" w:rsidRPr="00007048" w:rsidRDefault="00C33EB4" w:rsidP="00C33EB4">
            <w:pPr>
              <w:spacing w:after="0" w:line="240" w:lineRule="auto"/>
              <w:rPr>
                <w:rFonts w:ascii="Arial" w:eastAsia="Times New Roman" w:hAnsi="Arial" w:cs="Arial"/>
                <w:color w:val="000000"/>
                <w:sz w:val="18"/>
                <w:szCs w:val="18"/>
                <w:lang w:eastAsia="en-GB"/>
              </w:rPr>
            </w:pPr>
            <w:r w:rsidRPr="00007048">
              <w:rPr>
                <w:rFonts w:ascii="Arial" w:eastAsia="Times New Roman" w:hAnsi="Arial" w:cs="Arial"/>
                <w:color w:val="000000"/>
                <w:sz w:val="18"/>
                <w:szCs w:val="18"/>
                <w:lang w:eastAsia="en-GB"/>
              </w:rPr>
              <w:t>Negocio de Distribución en Alemania</w:t>
            </w:r>
          </w:p>
        </w:tc>
        <w:tc>
          <w:tcPr>
            <w:tcW w:w="1282" w:type="dxa"/>
            <w:tcBorders>
              <w:top w:val="nil"/>
              <w:left w:val="single" w:sz="4" w:space="0" w:color="auto"/>
              <w:bottom w:val="nil"/>
              <w:right w:val="nil"/>
            </w:tcBorders>
            <w:shd w:val="clear" w:color="auto" w:fill="auto"/>
            <w:noWrap/>
            <w:vAlign w:val="bottom"/>
            <w:hideMark/>
          </w:tcPr>
          <w:p w14:paraId="5531F3C1" w14:textId="77777777" w:rsidR="00C33EB4" w:rsidRPr="00007048" w:rsidRDefault="003965A6" w:rsidP="003965A6">
            <w:pPr>
              <w:spacing w:after="0" w:line="240" w:lineRule="auto"/>
              <w:jc w:val="right"/>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10.196</w:t>
            </w:r>
          </w:p>
        </w:tc>
        <w:tc>
          <w:tcPr>
            <w:tcW w:w="1478" w:type="dxa"/>
            <w:tcBorders>
              <w:top w:val="nil"/>
              <w:left w:val="single" w:sz="4" w:space="0" w:color="auto"/>
              <w:bottom w:val="nil"/>
              <w:right w:val="single" w:sz="4" w:space="0" w:color="auto"/>
            </w:tcBorders>
            <w:shd w:val="clear" w:color="auto" w:fill="auto"/>
            <w:noWrap/>
            <w:vAlign w:val="bottom"/>
            <w:hideMark/>
          </w:tcPr>
          <w:p w14:paraId="78612467" w14:textId="77777777" w:rsidR="00C33EB4" w:rsidRPr="00007048" w:rsidRDefault="00C33EB4" w:rsidP="00C33EB4">
            <w:pPr>
              <w:spacing w:after="0" w:line="240" w:lineRule="auto"/>
              <w:jc w:val="right"/>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10.196</w:t>
            </w:r>
          </w:p>
        </w:tc>
      </w:tr>
      <w:tr w:rsidR="003D4248" w:rsidRPr="00007048" w14:paraId="5EE440D0" w14:textId="77777777" w:rsidTr="007A74E1">
        <w:trPr>
          <w:trHeight w:val="300"/>
          <w:jc w:val="center"/>
        </w:trPr>
        <w:tc>
          <w:tcPr>
            <w:tcW w:w="4380" w:type="dxa"/>
            <w:tcBorders>
              <w:top w:val="nil"/>
              <w:left w:val="single" w:sz="4" w:space="0" w:color="auto"/>
              <w:bottom w:val="nil"/>
              <w:right w:val="nil"/>
            </w:tcBorders>
            <w:shd w:val="clear" w:color="auto" w:fill="auto"/>
            <w:noWrap/>
            <w:vAlign w:val="bottom"/>
            <w:hideMark/>
          </w:tcPr>
          <w:p w14:paraId="42BB544E" w14:textId="77777777" w:rsidR="003D4248" w:rsidRPr="00007048" w:rsidRDefault="003D4248" w:rsidP="007A74E1">
            <w:pPr>
              <w:spacing w:after="0" w:line="240" w:lineRule="auto"/>
              <w:rPr>
                <w:rFonts w:ascii="Arial" w:eastAsia="Times New Roman" w:hAnsi="Arial" w:cs="Arial"/>
                <w:color w:val="000000"/>
                <w:sz w:val="18"/>
                <w:szCs w:val="18"/>
                <w:lang w:eastAsia="en-GB"/>
              </w:rPr>
            </w:pPr>
            <w:r w:rsidRPr="00007048">
              <w:rPr>
                <w:rFonts w:ascii="Arial" w:eastAsia="Times New Roman" w:hAnsi="Arial" w:cs="Arial"/>
                <w:color w:val="000000"/>
                <w:sz w:val="18"/>
                <w:szCs w:val="18"/>
                <w:lang w:eastAsia="en-GB"/>
              </w:rPr>
              <w:t>Negocio de Distribución en Bélgica y Holanda</w:t>
            </w:r>
          </w:p>
        </w:tc>
        <w:tc>
          <w:tcPr>
            <w:tcW w:w="1282" w:type="dxa"/>
            <w:tcBorders>
              <w:top w:val="nil"/>
              <w:left w:val="single" w:sz="4" w:space="0" w:color="auto"/>
              <w:bottom w:val="nil"/>
              <w:right w:val="nil"/>
            </w:tcBorders>
            <w:shd w:val="clear" w:color="auto" w:fill="auto"/>
            <w:noWrap/>
            <w:vAlign w:val="bottom"/>
            <w:hideMark/>
          </w:tcPr>
          <w:p w14:paraId="279E0BB4" w14:textId="77777777" w:rsidR="003D4248" w:rsidRPr="00007048" w:rsidRDefault="003D4248" w:rsidP="007A74E1">
            <w:pPr>
              <w:spacing w:after="0" w:line="240" w:lineRule="auto"/>
              <w:jc w:val="right"/>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2.136</w:t>
            </w:r>
          </w:p>
        </w:tc>
        <w:tc>
          <w:tcPr>
            <w:tcW w:w="1478" w:type="dxa"/>
            <w:tcBorders>
              <w:top w:val="nil"/>
              <w:left w:val="single" w:sz="4" w:space="0" w:color="auto"/>
              <w:bottom w:val="nil"/>
              <w:right w:val="single" w:sz="4" w:space="0" w:color="auto"/>
            </w:tcBorders>
            <w:shd w:val="clear" w:color="auto" w:fill="auto"/>
            <w:noWrap/>
            <w:vAlign w:val="bottom"/>
            <w:hideMark/>
          </w:tcPr>
          <w:p w14:paraId="7533CA49" w14:textId="77777777" w:rsidR="003D4248" w:rsidRPr="00007048" w:rsidRDefault="003D4248" w:rsidP="007A74E1">
            <w:pPr>
              <w:spacing w:after="0" w:line="240" w:lineRule="auto"/>
              <w:jc w:val="right"/>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2.136</w:t>
            </w:r>
          </w:p>
        </w:tc>
      </w:tr>
      <w:tr w:rsidR="003D4248" w:rsidRPr="00007048" w14:paraId="5180F549" w14:textId="77777777" w:rsidTr="007A74E1">
        <w:trPr>
          <w:trHeight w:val="300"/>
          <w:jc w:val="center"/>
        </w:trPr>
        <w:tc>
          <w:tcPr>
            <w:tcW w:w="4380" w:type="dxa"/>
            <w:tcBorders>
              <w:top w:val="nil"/>
              <w:left w:val="single" w:sz="4" w:space="0" w:color="auto"/>
              <w:bottom w:val="nil"/>
              <w:right w:val="nil"/>
            </w:tcBorders>
            <w:shd w:val="clear" w:color="auto" w:fill="auto"/>
            <w:noWrap/>
            <w:vAlign w:val="bottom"/>
            <w:hideMark/>
          </w:tcPr>
          <w:p w14:paraId="759753C9" w14:textId="77777777" w:rsidR="003D4248" w:rsidRPr="00007048" w:rsidRDefault="003D4248" w:rsidP="007A74E1">
            <w:pPr>
              <w:spacing w:after="0" w:line="240" w:lineRule="auto"/>
              <w:rPr>
                <w:rFonts w:ascii="Arial" w:eastAsia="Times New Roman" w:hAnsi="Arial" w:cs="Arial"/>
                <w:color w:val="000000"/>
                <w:sz w:val="18"/>
                <w:szCs w:val="18"/>
                <w:lang w:eastAsia="en-GB"/>
              </w:rPr>
            </w:pPr>
            <w:r w:rsidRPr="00007048">
              <w:rPr>
                <w:rFonts w:ascii="Arial" w:eastAsia="Times New Roman" w:hAnsi="Arial" w:cs="Arial"/>
                <w:color w:val="000000"/>
                <w:sz w:val="18"/>
                <w:szCs w:val="18"/>
                <w:lang w:eastAsia="en-GB"/>
              </w:rPr>
              <w:t>Negocio de Distribución en Italia</w:t>
            </w:r>
          </w:p>
        </w:tc>
        <w:tc>
          <w:tcPr>
            <w:tcW w:w="1282" w:type="dxa"/>
            <w:tcBorders>
              <w:top w:val="nil"/>
              <w:left w:val="single" w:sz="4" w:space="0" w:color="auto"/>
              <w:bottom w:val="nil"/>
              <w:right w:val="nil"/>
            </w:tcBorders>
            <w:shd w:val="clear" w:color="auto" w:fill="auto"/>
            <w:noWrap/>
            <w:vAlign w:val="bottom"/>
            <w:hideMark/>
          </w:tcPr>
          <w:p w14:paraId="49763942" w14:textId="77777777" w:rsidR="003D4248" w:rsidRPr="00007048" w:rsidRDefault="003D4248" w:rsidP="007A74E1">
            <w:pPr>
              <w:spacing w:after="0" w:line="240" w:lineRule="auto"/>
              <w:jc w:val="right"/>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10.391</w:t>
            </w:r>
          </w:p>
        </w:tc>
        <w:tc>
          <w:tcPr>
            <w:tcW w:w="1478" w:type="dxa"/>
            <w:tcBorders>
              <w:top w:val="nil"/>
              <w:left w:val="single" w:sz="4" w:space="0" w:color="auto"/>
              <w:bottom w:val="nil"/>
              <w:right w:val="single" w:sz="4" w:space="0" w:color="auto"/>
            </w:tcBorders>
            <w:shd w:val="clear" w:color="auto" w:fill="auto"/>
            <w:noWrap/>
            <w:vAlign w:val="bottom"/>
            <w:hideMark/>
          </w:tcPr>
          <w:p w14:paraId="577F80E7" w14:textId="77777777" w:rsidR="003D4248" w:rsidRPr="00007048" w:rsidRDefault="003D4248" w:rsidP="007A74E1">
            <w:pPr>
              <w:spacing w:after="0" w:line="240" w:lineRule="auto"/>
              <w:jc w:val="right"/>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10.391</w:t>
            </w:r>
          </w:p>
        </w:tc>
      </w:tr>
      <w:tr w:rsidR="003D4248" w:rsidRPr="00007048" w14:paraId="3CD1DEFB" w14:textId="77777777" w:rsidTr="007A74E1">
        <w:trPr>
          <w:trHeight w:val="300"/>
          <w:jc w:val="center"/>
        </w:trPr>
        <w:tc>
          <w:tcPr>
            <w:tcW w:w="4380" w:type="dxa"/>
            <w:tcBorders>
              <w:top w:val="nil"/>
              <w:left w:val="single" w:sz="4" w:space="0" w:color="auto"/>
              <w:bottom w:val="nil"/>
              <w:right w:val="nil"/>
            </w:tcBorders>
            <w:shd w:val="clear" w:color="auto" w:fill="auto"/>
            <w:noWrap/>
            <w:vAlign w:val="bottom"/>
            <w:hideMark/>
          </w:tcPr>
          <w:p w14:paraId="5B4EC36A" w14:textId="77777777" w:rsidR="003D4248" w:rsidRPr="00007048" w:rsidRDefault="003D4248" w:rsidP="007A74E1">
            <w:pPr>
              <w:spacing w:after="0" w:line="240" w:lineRule="auto"/>
              <w:rPr>
                <w:rFonts w:ascii="Arial" w:eastAsia="Times New Roman" w:hAnsi="Arial" w:cs="Arial"/>
                <w:color w:val="000000"/>
                <w:sz w:val="18"/>
                <w:szCs w:val="18"/>
                <w:lang w:eastAsia="en-GB"/>
              </w:rPr>
            </w:pPr>
            <w:r w:rsidRPr="00007048">
              <w:rPr>
                <w:rFonts w:ascii="Arial" w:eastAsia="Times New Roman" w:hAnsi="Arial" w:cs="Arial"/>
                <w:color w:val="000000"/>
                <w:sz w:val="18"/>
                <w:szCs w:val="18"/>
                <w:lang w:eastAsia="en-GB"/>
              </w:rPr>
              <w:t>Negocio de Distribución en España</w:t>
            </w:r>
          </w:p>
        </w:tc>
        <w:tc>
          <w:tcPr>
            <w:tcW w:w="1282" w:type="dxa"/>
            <w:tcBorders>
              <w:top w:val="nil"/>
              <w:left w:val="single" w:sz="4" w:space="0" w:color="auto"/>
              <w:bottom w:val="nil"/>
              <w:right w:val="nil"/>
            </w:tcBorders>
            <w:shd w:val="clear" w:color="auto" w:fill="auto"/>
            <w:noWrap/>
            <w:vAlign w:val="bottom"/>
            <w:hideMark/>
          </w:tcPr>
          <w:p w14:paraId="77ABA7CD" w14:textId="77777777" w:rsidR="003D4248" w:rsidRPr="00007048" w:rsidRDefault="003D4248" w:rsidP="007A74E1">
            <w:pPr>
              <w:spacing w:after="0" w:line="240" w:lineRule="auto"/>
              <w:jc w:val="center"/>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w:t>
            </w:r>
          </w:p>
        </w:tc>
        <w:tc>
          <w:tcPr>
            <w:tcW w:w="1478" w:type="dxa"/>
            <w:tcBorders>
              <w:top w:val="nil"/>
              <w:left w:val="single" w:sz="4" w:space="0" w:color="auto"/>
              <w:bottom w:val="nil"/>
              <w:right w:val="single" w:sz="4" w:space="0" w:color="auto"/>
            </w:tcBorders>
            <w:shd w:val="clear" w:color="auto" w:fill="auto"/>
            <w:noWrap/>
            <w:vAlign w:val="bottom"/>
            <w:hideMark/>
          </w:tcPr>
          <w:p w14:paraId="0F514BB4" w14:textId="77777777" w:rsidR="003D4248" w:rsidRPr="00007048" w:rsidRDefault="003D4248" w:rsidP="007A74E1">
            <w:pPr>
              <w:spacing w:after="0" w:line="240" w:lineRule="auto"/>
              <w:jc w:val="center"/>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w:t>
            </w:r>
          </w:p>
        </w:tc>
      </w:tr>
      <w:tr w:rsidR="003D4248" w:rsidRPr="00007048" w14:paraId="044B7D7A" w14:textId="77777777" w:rsidTr="007A74E1">
        <w:trPr>
          <w:trHeight w:val="300"/>
          <w:jc w:val="center"/>
        </w:trPr>
        <w:tc>
          <w:tcPr>
            <w:tcW w:w="4380" w:type="dxa"/>
            <w:tcBorders>
              <w:top w:val="nil"/>
              <w:left w:val="single" w:sz="4" w:space="0" w:color="auto"/>
              <w:bottom w:val="single" w:sz="4" w:space="0" w:color="auto"/>
              <w:right w:val="nil"/>
            </w:tcBorders>
            <w:shd w:val="clear" w:color="auto" w:fill="auto"/>
            <w:noWrap/>
            <w:vAlign w:val="bottom"/>
            <w:hideMark/>
          </w:tcPr>
          <w:p w14:paraId="5A640B90" w14:textId="77777777" w:rsidR="003D4248" w:rsidRPr="00007048" w:rsidRDefault="003D4248" w:rsidP="007A74E1">
            <w:pPr>
              <w:spacing w:after="0" w:line="240" w:lineRule="auto"/>
              <w:rPr>
                <w:rFonts w:ascii="Arial" w:eastAsia="Times New Roman" w:hAnsi="Arial" w:cs="Arial"/>
                <w:color w:val="000000"/>
                <w:sz w:val="18"/>
                <w:szCs w:val="18"/>
                <w:lang w:val="en-GB" w:eastAsia="en-GB"/>
              </w:rPr>
            </w:pPr>
            <w:r w:rsidRPr="00007048">
              <w:rPr>
                <w:rFonts w:ascii="Arial" w:eastAsia="Times New Roman" w:hAnsi="Arial" w:cs="Arial"/>
                <w:color w:val="000000"/>
                <w:sz w:val="18"/>
                <w:szCs w:val="18"/>
                <w:lang w:val="en-GB" w:eastAsia="en-GB"/>
              </w:rPr>
              <w:t> </w:t>
            </w:r>
          </w:p>
        </w:tc>
        <w:tc>
          <w:tcPr>
            <w:tcW w:w="1282" w:type="dxa"/>
            <w:tcBorders>
              <w:top w:val="single" w:sz="4" w:space="0" w:color="auto"/>
              <w:left w:val="single" w:sz="4" w:space="0" w:color="auto"/>
              <w:bottom w:val="single" w:sz="4" w:space="0" w:color="auto"/>
              <w:right w:val="nil"/>
            </w:tcBorders>
            <w:shd w:val="clear" w:color="auto" w:fill="auto"/>
            <w:noWrap/>
            <w:vAlign w:val="bottom"/>
            <w:hideMark/>
          </w:tcPr>
          <w:p w14:paraId="4B1C7EFC" w14:textId="77777777" w:rsidR="003D4248" w:rsidRPr="00007048" w:rsidRDefault="003965A6" w:rsidP="007A74E1">
            <w:pPr>
              <w:spacing w:after="0" w:line="240" w:lineRule="auto"/>
              <w:jc w:val="right"/>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87.208</w:t>
            </w:r>
          </w:p>
        </w:tc>
        <w:tc>
          <w:tcPr>
            <w:tcW w:w="14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06410" w14:textId="77777777" w:rsidR="003D4248" w:rsidRPr="00007048" w:rsidRDefault="003D4248" w:rsidP="007A74E1">
            <w:pPr>
              <w:spacing w:after="0" w:line="240" w:lineRule="auto"/>
              <w:jc w:val="right"/>
              <w:rPr>
                <w:rFonts w:ascii="Arial" w:eastAsia="Times New Roman" w:hAnsi="Arial" w:cs="Arial"/>
                <w:b/>
                <w:bCs/>
                <w:color w:val="000000"/>
                <w:sz w:val="18"/>
                <w:szCs w:val="18"/>
                <w:lang w:val="en-GB" w:eastAsia="en-GB"/>
              </w:rPr>
            </w:pPr>
            <w:r w:rsidRPr="00007048">
              <w:rPr>
                <w:rFonts w:ascii="Arial" w:eastAsia="Times New Roman" w:hAnsi="Arial" w:cs="Arial"/>
                <w:b/>
                <w:bCs/>
                <w:color w:val="000000"/>
                <w:sz w:val="18"/>
                <w:szCs w:val="18"/>
                <w:lang w:val="en-GB" w:eastAsia="en-GB"/>
              </w:rPr>
              <w:t>87.208</w:t>
            </w:r>
          </w:p>
        </w:tc>
      </w:tr>
    </w:tbl>
    <w:p w14:paraId="5F19659E" w14:textId="77777777" w:rsidR="003D4248" w:rsidRPr="00955AB2" w:rsidRDefault="003D4248" w:rsidP="003D4248">
      <w:pPr>
        <w:spacing w:after="0" w:line="240" w:lineRule="auto"/>
        <w:ind w:left="426"/>
        <w:jc w:val="both"/>
        <w:rPr>
          <w:rFonts w:ascii="Arial" w:hAnsi="Arial" w:cs="Arial"/>
          <w:color w:val="000000"/>
          <w:sz w:val="18"/>
          <w:szCs w:val="18"/>
        </w:rPr>
      </w:pPr>
    </w:p>
    <w:p w14:paraId="6C5C565B" w14:textId="77777777" w:rsidR="003D4248" w:rsidRDefault="003D4248" w:rsidP="003D4248">
      <w:pPr>
        <w:keepNext/>
        <w:spacing w:after="0" w:line="240" w:lineRule="auto"/>
        <w:jc w:val="both"/>
        <w:rPr>
          <w:rFonts w:ascii="Arial" w:hAnsi="Arial" w:cs="Arial"/>
          <w:color w:val="000000"/>
          <w:sz w:val="18"/>
          <w:szCs w:val="18"/>
        </w:rPr>
      </w:pPr>
    </w:p>
    <w:p w14:paraId="2D69D9D8" w14:textId="77777777" w:rsidR="003D4248" w:rsidRPr="00354B09" w:rsidRDefault="003D4248" w:rsidP="003D4248">
      <w:pPr>
        <w:keepNext/>
        <w:spacing w:after="0" w:line="240" w:lineRule="auto"/>
        <w:ind w:left="425"/>
        <w:jc w:val="both"/>
        <w:rPr>
          <w:rFonts w:ascii="Arial" w:hAnsi="Arial" w:cs="Arial"/>
          <w:color w:val="000000"/>
          <w:sz w:val="18"/>
          <w:szCs w:val="18"/>
        </w:rPr>
      </w:pPr>
    </w:p>
    <w:p w14:paraId="50D705D0" w14:textId="77777777" w:rsidR="003D4248" w:rsidRPr="0042048D" w:rsidRDefault="003D4248" w:rsidP="0042048D">
      <w:pPr>
        <w:autoSpaceDE w:val="0"/>
        <w:autoSpaceDN w:val="0"/>
        <w:adjustRightInd w:val="0"/>
        <w:spacing w:after="0" w:line="240" w:lineRule="auto"/>
        <w:ind w:left="426"/>
        <w:jc w:val="both"/>
        <w:rPr>
          <w:rFonts w:ascii="Arial" w:eastAsia="Times New Roman" w:hAnsi="Arial" w:cs="Arial"/>
          <w:sz w:val="18"/>
          <w:szCs w:val="18"/>
          <w:lang w:eastAsia="es-ES"/>
        </w:rPr>
      </w:pPr>
      <w:r w:rsidRPr="0042048D">
        <w:rPr>
          <w:rFonts w:ascii="Arial" w:eastAsia="Times New Roman" w:hAnsi="Arial" w:cs="Arial"/>
          <w:sz w:val="18"/>
          <w:szCs w:val="18"/>
          <w:lang w:eastAsia="es-ES"/>
        </w:rPr>
        <w:t>Las principales variaciones consideradas dur</w:t>
      </w:r>
      <w:r w:rsidR="00C33EB4" w:rsidRPr="0042048D">
        <w:rPr>
          <w:rFonts w:ascii="Arial" w:eastAsia="Times New Roman" w:hAnsi="Arial" w:cs="Arial"/>
          <w:sz w:val="18"/>
          <w:szCs w:val="18"/>
          <w:lang w:eastAsia="es-ES"/>
        </w:rPr>
        <w:t>ante el primer semestre del 2018</w:t>
      </w:r>
      <w:r w:rsidRPr="0042048D">
        <w:rPr>
          <w:rFonts w:ascii="Arial" w:eastAsia="Times New Roman" w:hAnsi="Arial" w:cs="Arial"/>
          <w:sz w:val="18"/>
          <w:szCs w:val="18"/>
          <w:lang w:eastAsia="es-ES"/>
        </w:rPr>
        <w:t xml:space="preserve"> en el epígrafe “Activos intangibles” han sido las siguientes:</w:t>
      </w:r>
    </w:p>
    <w:p w14:paraId="6406EE4D" w14:textId="77777777" w:rsidR="003D4248" w:rsidRDefault="003D4248" w:rsidP="003D4248">
      <w:pPr>
        <w:spacing w:after="0" w:line="240" w:lineRule="auto"/>
        <w:ind w:left="426"/>
        <w:jc w:val="both"/>
        <w:rPr>
          <w:rFonts w:ascii="Arial" w:hAnsi="Arial" w:cs="Arial"/>
          <w:color w:val="000000"/>
          <w:sz w:val="18"/>
          <w:szCs w:val="18"/>
        </w:rPr>
      </w:pPr>
    </w:p>
    <w:p w14:paraId="78F0F5D5" w14:textId="77777777" w:rsidR="003D4248" w:rsidRPr="0090062F" w:rsidRDefault="003D4248" w:rsidP="0090062F">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0062F">
        <w:rPr>
          <w:rFonts w:ascii="Arial" w:eastAsia="Times New Roman" w:hAnsi="Arial" w:cs="Arial"/>
          <w:sz w:val="18"/>
          <w:szCs w:val="18"/>
          <w:lang w:eastAsia="es-ES"/>
        </w:rPr>
        <w:t>Amo</w:t>
      </w:r>
      <w:r w:rsidR="00C33EB4" w:rsidRPr="0090062F">
        <w:rPr>
          <w:rFonts w:ascii="Arial" w:eastAsia="Times New Roman" w:hAnsi="Arial" w:cs="Arial"/>
          <w:sz w:val="18"/>
          <w:szCs w:val="18"/>
          <w:lang w:eastAsia="es-ES"/>
        </w:rPr>
        <w:t>rtizaciones por importe de 4.754</w:t>
      </w:r>
      <w:r w:rsidRPr="0090062F">
        <w:rPr>
          <w:rFonts w:ascii="Arial" w:eastAsia="Times New Roman" w:hAnsi="Arial" w:cs="Arial"/>
          <w:sz w:val="18"/>
          <w:szCs w:val="18"/>
          <w:lang w:eastAsia="es-ES"/>
        </w:rPr>
        <w:t xml:space="preserve"> miles de euros que corresponden principalmente a la cartera de clientes procedente de la compra del negocio de </w:t>
      </w:r>
      <w:proofErr w:type="spellStart"/>
      <w:r w:rsidRPr="0090062F">
        <w:rPr>
          <w:rFonts w:ascii="Arial" w:eastAsia="Times New Roman" w:hAnsi="Arial" w:cs="Arial"/>
          <w:sz w:val="18"/>
          <w:szCs w:val="18"/>
          <w:lang w:eastAsia="es-ES"/>
        </w:rPr>
        <w:t>Spicers</w:t>
      </w:r>
      <w:proofErr w:type="spellEnd"/>
      <w:r w:rsidRPr="0090062F">
        <w:rPr>
          <w:rFonts w:ascii="Arial" w:eastAsia="Times New Roman" w:hAnsi="Arial" w:cs="Arial"/>
          <w:sz w:val="18"/>
          <w:szCs w:val="18"/>
          <w:lang w:eastAsia="es-ES"/>
        </w:rPr>
        <w:t xml:space="preserve"> y a las aplicaciones informáticas y plataforma tecnológica operativa desde 2016.</w:t>
      </w:r>
    </w:p>
    <w:p w14:paraId="4F13E1DE" w14:textId="77777777" w:rsidR="003D4248" w:rsidRDefault="003D4248" w:rsidP="003D4248">
      <w:pPr>
        <w:pStyle w:val="Prrafodelista"/>
        <w:spacing w:after="0" w:line="240" w:lineRule="auto"/>
        <w:jc w:val="both"/>
        <w:rPr>
          <w:rFonts w:ascii="Arial" w:hAnsi="Arial" w:cs="Arial"/>
          <w:color w:val="000000"/>
          <w:sz w:val="18"/>
          <w:szCs w:val="18"/>
        </w:rPr>
      </w:pPr>
    </w:p>
    <w:p w14:paraId="48CCD44B" w14:textId="77777777" w:rsidR="007713D4" w:rsidRPr="0090062F" w:rsidRDefault="00C33EB4" w:rsidP="0090062F">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0062F">
        <w:rPr>
          <w:rFonts w:ascii="Arial" w:eastAsia="Times New Roman" w:hAnsi="Arial" w:cs="Arial"/>
          <w:sz w:val="18"/>
          <w:szCs w:val="18"/>
          <w:lang w:eastAsia="es-ES"/>
        </w:rPr>
        <w:lastRenderedPageBreak/>
        <w:t>Inversiones por importe de 5,2</w:t>
      </w:r>
      <w:r w:rsidR="003D4248" w:rsidRPr="0090062F">
        <w:rPr>
          <w:rFonts w:ascii="Arial" w:eastAsia="Times New Roman" w:hAnsi="Arial" w:cs="Arial"/>
          <w:sz w:val="18"/>
          <w:szCs w:val="18"/>
          <w:lang w:eastAsia="es-ES"/>
        </w:rPr>
        <w:t xml:space="preserve"> millones de euros aproximadamente que corresponden, principalmente a licencias de softwares y trabajos de implantación de nuevos programas informático</w:t>
      </w:r>
      <w:r w:rsidRPr="0090062F">
        <w:rPr>
          <w:rFonts w:ascii="Arial" w:eastAsia="Times New Roman" w:hAnsi="Arial" w:cs="Arial"/>
          <w:sz w:val="18"/>
          <w:szCs w:val="18"/>
          <w:lang w:eastAsia="es-ES"/>
        </w:rPr>
        <w:t>s en Francia, Alemania e Italia, relacionados con el desarrollo de la nueva plataforma tecnológica.</w:t>
      </w:r>
    </w:p>
    <w:p w14:paraId="74F9287F" w14:textId="77777777" w:rsidR="007713D4" w:rsidRPr="007713D4" w:rsidRDefault="007713D4" w:rsidP="007713D4">
      <w:pPr>
        <w:pStyle w:val="Prrafodelista"/>
        <w:rPr>
          <w:rFonts w:ascii="Arial" w:hAnsi="Arial" w:cs="Arial"/>
          <w:color w:val="000000"/>
          <w:sz w:val="18"/>
          <w:szCs w:val="18"/>
        </w:rPr>
      </w:pPr>
    </w:p>
    <w:p w14:paraId="15937585" w14:textId="1B04F2BB" w:rsidR="003D4248" w:rsidRPr="0090062F" w:rsidRDefault="007713D4" w:rsidP="0090062F">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0062F">
        <w:rPr>
          <w:rFonts w:ascii="Arial" w:eastAsia="Times New Roman" w:hAnsi="Arial" w:cs="Arial"/>
          <w:sz w:val="18"/>
          <w:szCs w:val="18"/>
          <w:lang w:eastAsia="es-ES"/>
        </w:rPr>
        <w:t xml:space="preserve">Con motivo de la migración de los sistemas de España a la nueva plataforma tecnológica del Grupo, existen determinadas aplicaciones informáticas relacionadas con las actividades de comercio electrónico y </w:t>
      </w:r>
      <w:r w:rsidR="00B4222C">
        <w:rPr>
          <w:rFonts w:ascii="Arial" w:eastAsia="Times New Roman" w:hAnsi="Arial" w:cs="Arial"/>
          <w:sz w:val="18"/>
          <w:szCs w:val="18"/>
          <w:lang w:eastAsia="es-ES"/>
        </w:rPr>
        <w:t>gestión de almacenes que con</w:t>
      </w:r>
      <w:r w:rsidR="00D96C4E">
        <w:rPr>
          <w:rFonts w:ascii="Arial" w:eastAsia="Times New Roman" w:hAnsi="Arial" w:cs="Arial"/>
          <w:sz w:val="18"/>
          <w:szCs w:val="18"/>
          <w:lang w:eastAsia="es-ES"/>
        </w:rPr>
        <w:t xml:space="preserve"> la</w:t>
      </w:r>
      <w:r w:rsidR="00B4222C">
        <w:rPr>
          <w:rFonts w:ascii="Arial" w:eastAsia="Times New Roman" w:hAnsi="Arial" w:cs="Arial"/>
          <w:sz w:val="18"/>
          <w:szCs w:val="18"/>
          <w:lang w:eastAsia="es-ES"/>
        </w:rPr>
        <w:t xml:space="preserve"> </w:t>
      </w:r>
      <w:r w:rsidRPr="0090062F">
        <w:rPr>
          <w:rFonts w:ascii="Arial" w:eastAsia="Times New Roman" w:hAnsi="Arial" w:cs="Arial"/>
          <w:sz w:val="18"/>
          <w:szCs w:val="18"/>
          <w:lang w:eastAsia="es-ES"/>
        </w:rPr>
        <w:t>externalización de</w:t>
      </w:r>
      <w:r w:rsidR="00B4222C">
        <w:rPr>
          <w:rFonts w:ascii="Arial" w:eastAsia="Times New Roman" w:hAnsi="Arial" w:cs="Arial"/>
          <w:sz w:val="18"/>
          <w:szCs w:val="18"/>
          <w:lang w:eastAsia="es-ES"/>
        </w:rPr>
        <w:t xml:space="preserve"> los mismos </w:t>
      </w:r>
      <w:r w:rsidRPr="0090062F">
        <w:rPr>
          <w:rFonts w:ascii="Arial" w:eastAsia="Times New Roman" w:hAnsi="Arial" w:cs="Arial"/>
          <w:sz w:val="18"/>
          <w:szCs w:val="18"/>
          <w:lang w:eastAsia="es-ES"/>
        </w:rPr>
        <w:t xml:space="preserve"> van </w:t>
      </w:r>
      <w:r w:rsidR="00015FB9" w:rsidRPr="0090062F">
        <w:rPr>
          <w:rFonts w:ascii="Arial" w:eastAsia="Times New Roman" w:hAnsi="Arial" w:cs="Arial"/>
          <w:sz w:val="18"/>
          <w:szCs w:val="18"/>
          <w:lang w:eastAsia="es-ES"/>
        </w:rPr>
        <w:t>a dejar de usarse al cierre del ejercicio 2018</w:t>
      </w:r>
      <w:r w:rsidR="000C00B0">
        <w:rPr>
          <w:rFonts w:ascii="Arial" w:eastAsia="Times New Roman" w:hAnsi="Arial" w:cs="Arial"/>
          <w:sz w:val="18"/>
          <w:szCs w:val="18"/>
          <w:lang w:eastAsia="es-ES"/>
        </w:rPr>
        <w:t>, por lo que se ha</w:t>
      </w:r>
      <w:r w:rsidRPr="0090062F">
        <w:rPr>
          <w:rFonts w:ascii="Arial" w:eastAsia="Times New Roman" w:hAnsi="Arial" w:cs="Arial"/>
          <w:sz w:val="18"/>
          <w:szCs w:val="18"/>
          <w:lang w:eastAsia="es-ES"/>
        </w:rPr>
        <w:t xml:space="preserve"> dotado </w:t>
      </w:r>
      <w:r w:rsidR="00947AB2">
        <w:rPr>
          <w:rFonts w:ascii="Arial" w:eastAsia="Times New Roman" w:hAnsi="Arial" w:cs="Arial"/>
          <w:sz w:val="18"/>
          <w:szCs w:val="18"/>
          <w:lang w:eastAsia="es-ES"/>
        </w:rPr>
        <w:t xml:space="preserve">provisión de </w:t>
      </w:r>
      <w:r w:rsidRPr="0090062F">
        <w:rPr>
          <w:rFonts w:ascii="Arial" w:eastAsia="Times New Roman" w:hAnsi="Arial" w:cs="Arial"/>
          <w:sz w:val="18"/>
          <w:szCs w:val="18"/>
          <w:lang w:eastAsia="es-ES"/>
        </w:rPr>
        <w:t xml:space="preserve">pérdidas por deterioro de activos intangibles por importe de 2.574 miles de euros </w:t>
      </w:r>
      <w:r w:rsidR="00015FB9" w:rsidRPr="0090062F">
        <w:rPr>
          <w:rFonts w:ascii="Arial" w:eastAsia="Times New Roman" w:hAnsi="Arial" w:cs="Arial"/>
          <w:sz w:val="18"/>
          <w:szCs w:val="18"/>
          <w:lang w:eastAsia="es-ES"/>
        </w:rPr>
        <w:t>en los estados financieros consolidados intermedios del periodo terminando el 30 de junio de 2018.</w:t>
      </w:r>
    </w:p>
    <w:p w14:paraId="551019A6" w14:textId="77777777" w:rsidR="00015FB9" w:rsidRPr="00015FB9" w:rsidRDefault="00015FB9" w:rsidP="00015FB9">
      <w:pPr>
        <w:pStyle w:val="Prrafodelista"/>
        <w:rPr>
          <w:rFonts w:ascii="Arial" w:hAnsi="Arial" w:cs="Arial"/>
          <w:color w:val="000000"/>
          <w:sz w:val="18"/>
          <w:szCs w:val="18"/>
        </w:rPr>
      </w:pPr>
    </w:p>
    <w:p w14:paraId="65B4E732" w14:textId="77777777" w:rsidR="003D4248" w:rsidRPr="0090062F" w:rsidRDefault="00947AB2" w:rsidP="0090062F">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Se ha</w:t>
      </w:r>
      <w:r w:rsidR="00015FB9" w:rsidRPr="0090062F">
        <w:rPr>
          <w:rFonts w:ascii="Arial" w:eastAsia="Times New Roman" w:hAnsi="Arial" w:cs="Arial"/>
          <w:sz w:val="18"/>
          <w:szCs w:val="18"/>
          <w:lang w:eastAsia="es-ES"/>
        </w:rPr>
        <w:t xml:space="preserve"> dotado </w:t>
      </w:r>
      <w:r>
        <w:rPr>
          <w:rFonts w:ascii="Arial" w:eastAsia="Times New Roman" w:hAnsi="Arial" w:cs="Arial"/>
          <w:sz w:val="18"/>
          <w:szCs w:val="18"/>
          <w:lang w:eastAsia="es-ES"/>
        </w:rPr>
        <w:t>provisión</w:t>
      </w:r>
      <w:r w:rsidR="000C00B0">
        <w:rPr>
          <w:rFonts w:ascii="Arial" w:eastAsia="Times New Roman" w:hAnsi="Arial" w:cs="Arial"/>
          <w:sz w:val="18"/>
          <w:szCs w:val="18"/>
          <w:lang w:eastAsia="es-ES"/>
        </w:rPr>
        <w:t xml:space="preserve"> de</w:t>
      </w:r>
      <w:r>
        <w:rPr>
          <w:rFonts w:ascii="Arial" w:eastAsia="Times New Roman" w:hAnsi="Arial" w:cs="Arial"/>
          <w:sz w:val="18"/>
          <w:szCs w:val="18"/>
          <w:lang w:eastAsia="es-ES"/>
        </w:rPr>
        <w:t xml:space="preserve"> </w:t>
      </w:r>
      <w:r w:rsidR="00015FB9" w:rsidRPr="0090062F">
        <w:rPr>
          <w:rFonts w:ascii="Arial" w:eastAsia="Times New Roman" w:hAnsi="Arial" w:cs="Arial"/>
          <w:sz w:val="18"/>
          <w:szCs w:val="18"/>
          <w:lang w:eastAsia="es-ES"/>
        </w:rPr>
        <w:t>pérdidas por deterioro de activos intangibles por importe de 280 miles de euros en los estados financieros consolidados intermedios del periodo t</w:t>
      </w:r>
      <w:r w:rsidR="004A44D1" w:rsidRPr="0090062F">
        <w:rPr>
          <w:rFonts w:ascii="Arial" w:eastAsia="Times New Roman" w:hAnsi="Arial" w:cs="Arial"/>
          <w:sz w:val="18"/>
          <w:szCs w:val="18"/>
          <w:lang w:eastAsia="es-ES"/>
        </w:rPr>
        <w:t>erminado el 30 de junio de 2018, correspondientes a 2 softwares que van a dejar de usarse a nivel central durante el segundo semestre del ejercicio 2018.</w:t>
      </w:r>
    </w:p>
    <w:p w14:paraId="399F48D4" w14:textId="77777777" w:rsidR="00B652DC" w:rsidRPr="00BD366B" w:rsidRDefault="00B652DC" w:rsidP="00BD366B">
      <w:pPr>
        <w:spacing w:after="0" w:line="240" w:lineRule="auto"/>
        <w:jc w:val="both"/>
        <w:rPr>
          <w:rFonts w:ascii="Arial" w:hAnsi="Arial" w:cs="Arial"/>
          <w:color w:val="000000"/>
          <w:sz w:val="18"/>
          <w:szCs w:val="18"/>
        </w:rPr>
      </w:pPr>
    </w:p>
    <w:p w14:paraId="2EB9C06A" w14:textId="77777777" w:rsidR="003D4248" w:rsidRPr="00A04197" w:rsidRDefault="003D4248" w:rsidP="003D4248">
      <w:pPr>
        <w:numPr>
          <w:ilvl w:val="0"/>
          <w:numId w:val="4"/>
        </w:numPr>
        <w:spacing w:after="0" w:line="240" w:lineRule="auto"/>
        <w:ind w:left="426" w:hanging="284"/>
        <w:jc w:val="both"/>
      </w:pPr>
      <w:r>
        <w:rPr>
          <w:rFonts w:ascii="Arial" w:hAnsi="Arial" w:cs="Arial"/>
          <w:color w:val="000000"/>
          <w:sz w:val="18"/>
          <w:szCs w:val="18"/>
        </w:rPr>
        <w:t>Inmovilizado material</w:t>
      </w:r>
    </w:p>
    <w:p w14:paraId="27175C5B" w14:textId="77777777" w:rsidR="003D4248" w:rsidRDefault="003D4248" w:rsidP="003D4248">
      <w:pPr>
        <w:spacing w:after="0" w:line="240" w:lineRule="auto"/>
        <w:jc w:val="both"/>
        <w:rPr>
          <w:rFonts w:ascii="Arial" w:hAnsi="Arial" w:cs="Arial"/>
          <w:color w:val="000000"/>
          <w:sz w:val="18"/>
          <w:szCs w:val="18"/>
        </w:rPr>
      </w:pPr>
    </w:p>
    <w:p w14:paraId="463ECB3A" w14:textId="2615D9EA" w:rsidR="003D4248" w:rsidRDefault="003D4248" w:rsidP="003D4248">
      <w:pPr>
        <w:spacing w:after="0" w:line="240" w:lineRule="auto"/>
        <w:ind w:left="426"/>
        <w:jc w:val="both"/>
        <w:rPr>
          <w:rFonts w:ascii="Arial" w:hAnsi="Arial" w:cs="Arial"/>
          <w:color w:val="000000"/>
          <w:sz w:val="18"/>
          <w:szCs w:val="18"/>
        </w:rPr>
      </w:pPr>
      <w:r w:rsidRPr="00A04197">
        <w:rPr>
          <w:rFonts w:ascii="Arial" w:hAnsi="Arial" w:cs="Arial"/>
          <w:color w:val="000000"/>
          <w:sz w:val="18"/>
          <w:szCs w:val="18"/>
        </w:rPr>
        <w:t xml:space="preserve">Recoge principalmente aquellos terrenos/construcciones/instalaciones en propiedad y en uso de explotación por parte del Grupo </w:t>
      </w:r>
      <w:r w:rsidR="004416C1">
        <w:rPr>
          <w:rFonts w:ascii="Arial" w:hAnsi="Arial" w:cs="Arial"/>
          <w:color w:val="000000"/>
          <w:sz w:val="18"/>
          <w:szCs w:val="18"/>
        </w:rPr>
        <w:t xml:space="preserve">que al 30 de junio de 2018 recoge principalmente </w:t>
      </w:r>
      <w:r w:rsidR="00F2156C">
        <w:rPr>
          <w:rFonts w:ascii="Arial" w:hAnsi="Arial" w:cs="Arial"/>
          <w:color w:val="000000"/>
          <w:sz w:val="18"/>
          <w:szCs w:val="18"/>
        </w:rPr>
        <w:t>el centro de Bélgica</w:t>
      </w:r>
      <w:r w:rsidR="005F182F">
        <w:rPr>
          <w:rFonts w:ascii="Arial" w:hAnsi="Arial" w:cs="Arial"/>
          <w:color w:val="000000"/>
          <w:sz w:val="18"/>
          <w:szCs w:val="18"/>
        </w:rPr>
        <w:t xml:space="preserve"> y una</w:t>
      </w:r>
      <w:r w:rsidR="00BD366B">
        <w:rPr>
          <w:rFonts w:ascii="Arial" w:hAnsi="Arial" w:cs="Arial"/>
          <w:color w:val="000000"/>
          <w:sz w:val="18"/>
          <w:szCs w:val="18"/>
        </w:rPr>
        <w:t xml:space="preserve"> serie de activos</w:t>
      </w:r>
      <w:r w:rsidR="005F182F">
        <w:rPr>
          <w:rFonts w:ascii="Arial" w:hAnsi="Arial" w:cs="Arial"/>
          <w:color w:val="000000"/>
          <w:sz w:val="18"/>
          <w:szCs w:val="18"/>
        </w:rPr>
        <w:t xml:space="preserve"> de Tres Cantos</w:t>
      </w:r>
      <w:r w:rsidR="00F2156C">
        <w:rPr>
          <w:rFonts w:ascii="Arial" w:hAnsi="Arial" w:cs="Arial"/>
          <w:color w:val="000000"/>
          <w:sz w:val="18"/>
          <w:szCs w:val="18"/>
        </w:rPr>
        <w:t>.</w:t>
      </w:r>
    </w:p>
    <w:p w14:paraId="72074470" w14:textId="77777777" w:rsidR="003D4248" w:rsidRDefault="003D4248" w:rsidP="003D4248">
      <w:pPr>
        <w:spacing w:after="0" w:line="240" w:lineRule="auto"/>
        <w:jc w:val="both"/>
        <w:rPr>
          <w:rFonts w:ascii="Arial" w:hAnsi="Arial" w:cs="Arial"/>
          <w:sz w:val="18"/>
          <w:szCs w:val="18"/>
        </w:rPr>
      </w:pPr>
    </w:p>
    <w:p w14:paraId="1BD96AC2" w14:textId="77777777" w:rsidR="003D4248" w:rsidRDefault="003D4248" w:rsidP="00BC0EE9">
      <w:pPr>
        <w:spacing w:after="0" w:line="240" w:lineRule="auto"/>
        <w:ind w:left="426"/>
        <w:jc w:val="both"/>
        <w:rPr>
          <w:rFonts w:ascii="Arial" w:hAnsi="Arial" w:cs="Arial"/>
          <w:color w:val="000000"/>
          <w:sz w:val="18"/>
          <w:szCs w:val="18"/>
        </w:rPr>
      </w:pPr>
      <w:r w:rsidRPr="00007048">
        <w:rPr>
          <w:rFonts w:ascii="Arial" w:hAnsi="Arial" w:cs="Arial"/>
          <w:color w:val="000000"/>
          <w:sz w:val="18"/>
          <w:szCs w:val="18"/>
        </w:rPr>
        <w:t>Las principales variaciones consideradas dur</w:t>
      </w:r>
      <w:r w:rsidR="00AB3A30">
        <w:rPr>
          <w:rFonts w:ascii="Arial" w:hAnsi="Arial" w:cs="Arial"/>
          <w:color w:val="000000"/>
          <w:sz w:val="18"/>
          <w:szCs w:val="18"/>
        </w:rPr>
        <w:t>ante el primer semestre del 2018</w:t>
      </w:r>
      <w:r>
        <w:rPr>
          <w:rFonts w:ascii="Arial" w:hAnsi="Arial" w:cs="Arial"/>
          <w:color w:val="000000"/>
          <w:sz w:val="18"/>
          <w:szCs w:val="18"/>
        </w:rPr>
        <w:t xml:space="preserve"> han sido las siguientes:</w:t>
      </w:r>
    </w:p>
    <w:p w14:paraId="7EE167DE" w14:textId="77777777" w:rsidR="003D4248" w:rsidRPr="00E2157E" w:rsidRDefault="003D4248" w:rsidP="00E2157E">
      <w:pPr>
        <w:spacing w:after="0" w:line="240" w:lineRule="auto"/>
        <w:jc w:val="both"/>
        <w:rPr>
          <w:rFonts w:ascii="Arial" w:hAnsi="Arial" w:cs="Arial"/>
          <w:sz w:val="18"/>
          <w:szCs w:val="18"/>
        </w:rPr>
      </w:pPr>
    </w:p>
    <w:p w14:paraId="285AB639" w14:textId="77777777" w:rsidR="003D4248" w:rsidRDefault="003D4248" w:rsidP="0090062F">
      <w:pPr>
        <w:pStyle w:val="Prrafodelista"/>
        <w:numPr>
          <w:ilvl w:val="0"/>
          <w:numId w:val="12"/>
        </w:numPr>
        <w:autoSpaceDE w:val="0"/>
        <w:autoSpaceDN w:val="0"/>
        <w:adjustRightInd w:val="0"/>
        <w:spacing w:after="0" w:line="240" w:lineRule="auto"/>
        <w:jc w:val="both"/>
        <w:rPr>
          <w:rFonts w:ascii="Arial" w:hAnsi="Arial" w:cs="Arial"/>
          <w:sz w:val="18"/>
          <w:szCs w:val="18"/>
        </w:rPr>
      </w:pPr>
      <w:r w:rsidRPr="0090062F">
        <w:rPr>
          <w:rFonts w:ascii="Arial" w:eastAsia="Times New Roman" w:hAnsi="Arial" w:cs="Arial"/>
          <w:sz w:val="18"/>
          <w:szCs w:val="18"/>
          <w:lang w:eastAsia="es-ES"/>
        </w:rPr>
        <w:t>Amo</w:t>
      </w:r>
      <w:r w:rsidR="00BC0EE9" w:rsidRPr="0090062F">
        <w:rPr>
          <w:rFonts w:ascii="Arial" w:eastAsia="Times New Roman" w:hAnsi="Arial" w:cs="Arial"/>
          <w:sz w:val="18"/>
          <w:szCs w:val="18"/>
          <w:lang w:eastAsia="es-ES"/>
        </w:rPr>
        <w:t>rtizaciones por importe de 1.632</w:t>
      </w:r>
      <w:r w:rsidRPr="0090062F">
        <w:rPr>
          <w:rFonts w:ascii="Arial" w:eastAsia="Times New Roman" w:hAnsi="Arial" w:cs="Arial"/>
          <w:sz w:val="18"/>
          <w:szCs w:val="18"/>
          <w:lang w:eastAsia="es-ES"/>
        </w:rPr>
        <w:t xml:space="preserve"> miles de euros.</w:t>
      </w:r>
    </w:p>
    <w:p w14:paraId="3B0D64E0" w14:textId="77777777" w:rsidR="003D4248" w:rsidRPr="00071B3D" w:rsidRDefault="003D4248" w:rsidP="003D4248">
      <w:pPr>
        <w:pStyle w:val="Prrafodelista"/>
        <w:rPr>
          <w:rFonts w:ascii="Arial" w:hAnsi="Arial" w:cs="Arial"/>
          <w:sz w:val="18"/>
          <w:szCs w:val="18"/>
        </w:rPr>
      </w:pPr>
    </w:p>
    <w:p w14:paraId="0BE3B9BF" w14:textId="60A8EE94" w:rsidR="00B652DC" w:rsidRPr="0090062F" w:rsidRDefault="003E6201" w:rsidP="0090062F">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0062F">
        <w:rPr>
          <w:rFonts w:ascii="Arial" w:eastAsia="Times New Roman" w:hAnsi="Arial" w:cs="Arial"/>
          <w:sz w:val="18"/>
          <w:szCs w:val="18"/>
          <w:lang w:eastAsia="es-ES"/>
        </w:rPr>
        <w:t xml:space="preserve">Tal como se indica en la </w:t>
      </w:r>
      <w:r w:rsidR="00AC1A1D" w:rsidRPr="0090062F">
        <w:rPr>
          <w:rFonts w:ascii="Arial" w:eastAsia="Times New Roman" w:hAnsi="Arial" w:cs="Arial"/>
          <w:sz w:val="18"/>
          <w:szCs w:val="18"/>
          <w:lang w:eastAsia="es-ES"/>
        </w:rPr>
        <w:t xml:space="preserve">Nota 10 de Hechos posteriores al Cierre, el Grupo han alcanzado un acuerdo </w:t>
      </w:r>
      <w:r w:rsidR="005F182F">
        <w:rPr>
          <w:rFonts w:ascii="Arial" w:eastAsia="Times New Roman" w:hAnsi="Arial" w:cs="Arial"/>
          <w:sz w:val="18"/>
          <w:szCs w:val="18"/>
          <w:lang w:eastAsia="es-ES"/>
        </w:rPr>
        <w:t>para la entrega de una</w:t>
      </w:r>
      <w:r w:rsidR="005F182F" w:rsidRPr="0090062F">
        <w:rPr>
          <w:rFonts w:ascii="Arial" w:eastAsia="Times New Roman" w:hAnsi="Arial" w:cs="Arial"/>
          <w:sz w:val="18"/>
          <w:szCs w:val="18"/>
          <w:lang w:eastAsia="es-ES"/>
        </w:rPr>
        <w:t xml:space="preserve"> </w:t>
      </w:r>
      <w:r w:rsidR="00AC1A1D" w:rsidRPr="0090062F">
        <w:rPr>
          <w:rFonts w:ascii="Arial" w:eastAsia="Times New Roman" w:hAnsi="Arial" w:cs="Arial"/>
          <w:sz w:val="18"/>
          <w:szCs w:val="18"/>
          <w:lang w:eastAsia="es-ES"/>
        </w:rPr>
        <w:t>opción de compra del almacén de Tres Cantos (Madrid) por un importe de 22 millones de euros. Con motivo de esta operación, el Grupo ha traspasado al epígrafe de “Activos no corrientes mantenidos para la venta” los activos inmobiliarios de dicho almacén, cuyo valor neto contable al 30 de junio de 2018 a</w:t>
      </w:r>
      <w:r w:rsidR="00AB3A30" w:rsidRPr="0090062F">
        <w:rPr>
          <w:rFonts w:ascii="Arial" w:eastAsia="Times New Roman" w:hAnsi="Arial" w:cs="Arial"/>
          <w:sz w:val="18"/>
          <w:szCs w:val="18"/>
          <w:lang w:eastAsia="es-ES"/>
        </w:rPr>
        <w:t>sciende a 13.286 miles de euros, de los cuales 8.065 miles de euros corresponden a la parte de uso propio clasificada al 31 de diciembre de 2017 en el epígrafe “Inmovilizado material”.</w:t>
      </w:r>
    </w:p>
    <w:p w14:paraId="3A599C18" w14:textId="77777777" w:rsidR="00B652DC" w:rsidRPr="00B652DC" w:rsidRDefault="00B652DC" w:rsidP="00B652DC">
      <w:pPr>
        <w:pStyle w:val="Prrafodelista"/>
        <w:spacing w:after="0" w:line="240" w:lineRule="auto"/>
        <w:ind w:left="786"/>
        <w:jc w:val="both"/>
        <w:rPr>
          <w:rFonts w:ascii="Arial" w:hAnsi="Arial" w:cs="Arial"/>
          <w:sz w:val="18"/>
          <w:szCs w:val="18"/>
        </w:rPr>
      </w:pPr>
    </w:p>
    <w:p w14:paraId="1AC6180B" w14:textId="77777777" w:rsidR="00B652DC" w:rsidRPr="00E1361A" w:rsidRDefault="00E2157E" w:rsidP="0042048D">
      <w:pPr>
        <w:ind w:left="360"/>
        <w:jc w:val="both"/>
        <w:rPr>
          <w:rFonts w:ascii="Arial" w:hAnsi="Arial" w:cs="Arial"/>
          <w:sz w:val="18"/>
          <w:szCs w:val="18"/>
        </w:rPr>
      </w:pPr>
      <w:r>
        <w:rPr>
          <w:rFonts w:ascii="Arial" w:hAnsi="Arial" w:cs="Arial"/>
          <w:sz w:val="18"/>
          <w:szCs w:val="18"/>
        </w:rPr>
        <w:t>Al 30 de junio de 2018</w:t>
      </w:r>
      <w:r w:rsidR="003D4248">
        <w:rPr>
          <w:rFonts w:ascii="Arial" w:hAnsi="Arial" w:cs="Arial"/>
          <w:sz w:val="18"/>
          <w:szCs w:val="18"/>
        </w:rPr>
        <w:t>, no existen compromisos de compra de elementos de inmovilizado material significativos.</w:t>
      </w:r>
    </w:p>
    <w:p w14:paraId="3C9510DF" w14:textId="77777777" w:rsidR="003D4248" w:rsidRPr="00FF34B8" w:rsidRDefault="003D4248" w:rsidP="003D4248">
      <w:pPr>
        <w:numPr>
          <w:ilvl w:val="0"/>
          <w:numId w:val="4"/>
        </w:numPr>
        <w:spacing w:after="0" w:line="240" w:lineRule="auto"/>
        <w:ind w:left="426" w:hanging="284"/>
        <w:jc w:val="both"/>
        <w:rPr>
          <w:rFonts w:ascii="Arial" w:hAnsi="Arial" w:cs="Arial"/>
          <w:color w:val="000000"/>
          <w:sz w:val="18"/>
          <w:szCs w:val="18"/>
        </w:rPr>
      </w:pPr>
      <w:r w:rsidRPr="00FF34B8">
        <w:rPr>
          <w:rFonts w:ascii="Arial" w:hAnsi="Arial" w:cs="Arial"/>
          <w:color w:val="000000"/>
          <w:sz w:val="18"/>
          <w:szCs w:val="18"/>
        </w:rPr>
        <w:t>Inversiones inmobiliarias</w:t>
      </w:r>
    </w:p>
    <w:p w14:paraId="3DB521AA" w14:textId="77777777" w:rsidR="003D4248" w:rsidRDefault="003D4248" w:rsidP="00D91119">
      <w:pPr>
        <w:spacing w:after="0" w:line="240" w:lineRule="auto"/>
        <w:jc w:val="both"/>
        <w:rPr>
          <w:rFonts w:ascii="Arial" w:hAnsi="Arial" w:cs="Arial"/>
          <w:color w:val="000000"/>
          <w:sz w:val="18"/>
          <w:szCs w:val="18"/>
        </w:rPr>
      </w:pPr>
    </w:p>
    <w:p w14:paraId="68D94AC0" w14:textId="77777777" w:rsidR="00AB3A30" w:rsidRDefault="00AB3A30" w:rsidP="003D4248">
      <w:pPr>
        <w:spacing w:after="0" w:line="240" w:lineRule="auto"/>
        <w:ind w:left="426"/>
        <w:jc w:val="both"/>
        <w:rPr>
          <w:rFonts w:ascii="Arial" w:hAnsi="Arial" w:cs="Arial"/>
          <w:color w:val="000000"/>
          <w:sz w:val="18"/>
          <w:szCs w:val="18"/>
        </w:rPr>
      </w:pPr>
      <w:r>
        <w:rPr>
          <w:rFonts w:ascii="Arial" w:hAnsi="Arial" w:cs="Arial"/>
          <w:color w:val="000000"/>
          <w:sz w:val="18"/>
          <w:szCs w:val="18"/>
        </w:rPr>
        <w:t>Las principales variaciones consideradas durante el primer semestre del 2018 han sido las siguientes:</w:t>
      </w:r>
    </w:p>
    <w:p w14:paraId="73159957" w14:textId="77777777" w:rsidR="00AB3A30" w:rsidRDefault="00AB3A30" w:rsidP="003D4248">
      <w:pPr>
        <w:spacing w:after="0" w:line="240" w:lineRule="auto"/>
        <w:ind w:left="426"/>
        <w:jc w:val="both"/>
        <w:rPr>
          <w:rFonts w:ascii="Arial" w:hAnsi="Arial" w:cs="Arial"/>
          <w:color w:val="000000"/>
          <w:sz w:val="18"/>
          <w:szCs w:val="18"/>
        </w:rPr>
      </w:pPr>
    </w:p>
    <w:p w14:paraId="1EA88689" w14:textId="77777777" w:rsidR="00AB3A30" w:rsidRPr="00980FD9" w:rsidRDefault="00AB3A30" w:rsidP="00980FD9">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80FD9">
        <w:rPr>
          <w:rFonts w:ascii="Arial" w:eastAsia="Times New Roman" w:hAnsi="Arial" w:cs="Arial"/>
          <w:sz w:val="18"/>
          <w:szCs w:val="18"/>
          <w:lang w:eastAsia="es-ES"/>
        </w:rPr>
        <w:t>A</w:t>
      </w:r>
      <w:r w:rsidR="005621EA" w:rsidRPr="00980FD9">
        <w:rPr>
          <w:rFonts w:ascii="Arial" w:eastAsia="Times New Roman" w:hAnsi="Arial" w:cs="Arial"/>
          <w:sz w:val="18"/>
          <w:szCs w:val="18"/>
          <w:lang w:eastAsia="es-ES"/>
        </w:rPr>
        <w:t>mortizaciones por importe de 306</w:t>
      </w:r>
      <w:r w:rsidRPr="00980FD9">
        <w:rPr>
          <w:rFonts w:ascii="Arial" w:eastAsia="Times New Roman" w:hAnsi="Arial" w:cs="Arial"/>
          <w:sz w:val="18"/>
          <w:szCs w:val="18"/>
          <w:lang w:eastAsia="es-ES"/>
        </w:rPr>
        <w:t xml:space="preserve"> miles de euros.</w:t>
      </w:r>
    </w:p>
    <w:p w14:paraId="423DE6D9" w14:textId="77777777" w:rsidR="001D710D" w:rsidRDefault="001D710D" w:rsidP="001D710D">
      <w:pPr>
        <w:pStyle w:val="Prrafodelista"/>
        <w:spacing w:after="0" w:line="240" w:lineRule="auto"/>
        <w:ind w:left="786"/>
        <w:jc w:val="both"/>
        <w:rPr>
          <w:rFonts w:ascii="Arial" w:hAnsi="Arial" w:cs="Arial"/>
          <w:sz w:val="18"/>
          <w:szCs w:val="18"/>
        </w:rPr>
      </w:pPr>
    </w:p>
    <w:p w14:paraId="7351D7A6" w14:textId="77777777" w:rsidR="005F182F" w:rsidRDefault="001D710D" w:rsidP="00980FD9">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80FD9">
        <w:rPr>
          <w:rFonts w:ascii="Arial" w:eastAsia="Times New Roman" w:hAnsi="Arial" w:cs="Arial"/>
          <w:sz w:val="18"/>
          <w:szCs w:val="18"/>
          <w:lang w:eastAsia="es-ES"/>
        </w:rPr>
        <w:t xml:space="preserve">Tal como se indica en la Nota 10 de Hechos posteriores al Cierre, el Grupo y un inversor tercero han alcanzado un acuerdo de opción de compra del almacén de Tres Cantos (Madrid), por un importe de 22 millones de euros. </w:t>
      </w:r>
    </w:p>
    <w:p w14:paraId="1B1427BF" w14:textId="77777777" w:rsidR="005F182F" w:rsidRDefault="005F182F" w:rsidP="00357E78">
      <w:pPr>
        <w:autoSpaceDE w:val="0"/>
        <w:autoSpaceDN w:val="0"/>
        <w:adjustRightInd w:val="0"/>
        <w:spacing w:after="0" w:line="240" w:lineRule="auto"/>
        <w:jc w:val="both"/>
        <w:rPr>
          <w:rFonts w:ascii="Arial" w:eastAsia="Times New Roman" w:hAnsi="Arial" w:cs="Arial"/>
          <w:sz w:val="18"/>
          <w:szCs w:val="18"/>
          <w:lang w:eastAsia="es-ES"/>
        </w:rPr>
      </w:pPr>
    </w:p>
    <w:p w14:paraId="5BCDEBB2" w14:textId="778F366E" w:rsidR="001D710D" w:rsidRPr="00C469ED" w:rsidRDefault="001D710D" w:rsidP="00357E78">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C469ED">
        <w:rPr>
          <w:rFonts w:ascii="Arial" w:eastAsia="Times New Roman" w:hAnsi="Arial" w:cs="Arial"/>
          <w:sz w:val="18"/>
          <w:szCs w:val="18"/>
          <w:lang w:eastAsia="es-ES"/>
        </w:rPr>
        <w:t>Con motivo de esta operación, el Grupo ha traspasado al epígrafe de “Activos no corrientes mantenidos para la venta” los activos inmobiliarios de dicho almacén</w:t>
      </w:r>
      <w:r w:rsidR="005F182F">
        <w:rPr>
          <w:rFonts w:ascii="Arial" w:eastAsia="Times New Roman" w:hAnsi="Arial" w:cs="Arial"/>
          <w:sz w:val="18"/>
          <w:szCs w:val="18"/>
          <w:lang w:eastAsia="es-ES"/>
        </w:rPr>
        <w:t xml:space="preserve"> no utilizados en la explotación y que estuvieron en uso por </w:t>
      </w:r>
      <w:proofErr w:type="spellStart"/>
      <w:r w:rsidR="005F182F">
        <w:rPr>
          <w:rFonts w:ascii="Arial" w:eastAsia="Times New Roman" w:hAnsi="Arial" w:cs="Arial"/>
          <w:sz w:val="18"/>
          <w:szCs w:val="18"/>
          <w:lang w:eastAsia="es-ES"/>
        </w:rPr>
        <w:t>Unipapel</w:t>
      </w:r>
      <w:proofErr w:type="spellEnd"/>
      <w:r w:rsidR="005F182F">
        <w:rPr>
          <w:rFonts w:ascii="Arial" w:eastAsia="Times New Roman" w:hAnsi="Arial" w:cs="Arial"/>
          <w:sz w:val="18"/>
          <w:szCs w:val="18"/>
          <w:lang w:eastAsia="es-ES"/>
        </w:rPr>
        <w:t>, S.L</w:t>
      </w:r>
      <w:r w:rsidRPr="00C469ED">
        <w:rPr>
          <w:rFonts w:ascii="Arial" w:eastAsia="Times New Roman" w:hAnsi="Arial" w:cs="Arial"/>
          <w:sz w:val="18"/>
          <w:szCs w:val="18"/>
          <w:lang w:eastAsia="es-ES"/>
        </w:rPr>
        <w:t>, cuyo valor neto contable al 30 de junio de 2018 asciende a 5.221 miles de euros corresponden a la parte formalizada en contrato de arrendamiento (</w:t>
      </w:r>
      <w:r w:rsidR="00E4248F" w:rsidRPr="00C469ED">
        <w:rPr>
          <w:rFonts w:ascii="Arial" w:eastAsia="Times New Roman" w:hAnsi="Arial" w:cs="Arial"/>
          <w:sz w:val="18"/>
          <w:szCs w:val="18"/>
          <w:lang w:eastAsia="es-ES"/>
        </w:rPr>
        <w:t>que fue terminado con fecha 18</w:t>
      </w:r>
      <w:r w:rsidRPr="00C469ED">
        <w:rPr>
          <w:rFonts w:ascii="Arial" w:eastAsia="Times New Roman" w:hAnsi="Arial" w:cs="Arial"/>
          <w:sz w:val="18"/>
          <w:szCs w:val="18"/>
          <w:lang w:eastAsia="es-ES"/>
        </w:rPr>
        <w:t xml:space="preserve"> de mayo de 2018</w:t>
      </w:r>
      <w:r w:rsidR="00E4248F" w:rsidRPr="00C469ED">
        <w:rPr>
          <w:rFonts w:ascii="Arial" w:eastAsia="Times New Roman" w:hAnsi="Arial" w:cs="Arial"/>
          <w:sz w:val="18"/>
          <w:szCs w:val="18"/>
          <w:lang w:eastAsia="es-ES"/>
        </w:rPr>
        <w:t xml:space="preserve"> tal como se indica en </w:t>
      </w:r>
      <w:r w:rsidR="0014094C" w:rsidRPr="00C469ED">
        <w:rPr>
          <w:rFonts w:ascii="Arial" w:eastAsia="Times New Roman" w:hAnsi="Arial" w:cs="Arial"/>
          <w:sz w:val="18"/>
          <w:szCs w:val="18"/>
          <w:lang w:eastAsia="es-ES"/>
        </w:rPr>
        <w:t>la Nota 5 de</w:t>
      </w:r>
      <w:r w:rsidR="00E4248F" w:rsidRPr="00C469ED">
        <w:rPr>
          <w:rFonts w:ascii="Arial" w:eastAsia="Times New Roman" w:hAnsi="Arial" w:cs="Arial"/>
          <w:sz w:val="18"/>
          <w:szCs w:val="18"/>
          <w:lang w:eastAsia="es-ES"/>
        </w:rPr>
        <w:t xml:space="preserve"> Activos y pasivos contingentes</w:t>
      </w:r>
      <w:r w:rsidRPr="00C469ED">
        <w:rPr>
          <w:rFonts w:ascii="Arial" w:eastAsia="Times New Roman" w:hAnsi="Arial" w:cs="Arial"/>
          <w:sz w:val="18"/>
          <w:szCs w:val="18"/>
          <w:lang w:eastAsia="es-ES"/>
        </w:rPr>
        <w:t>) clasificada al 31 de diciembre de 2017 en el epígrafe “Inversiones inmobiliarias”.</w:t>
      </w:r>
    </w:p>
    <w:p w14:paraId="05D7F5D7" w14:textId="77777777" w:rsidR="001D710D" w:rsidRPr="001D710D" w:rsidRDefault="001D710D" w:rsidP="001D710D">
      <w:pPr>
        <w:spacing w:after="0" w:line="240" w:lineRule="auto"/>
        <w:jc w:val="both"/>
        <w:rPr>
          <w:rFonts w:ascii="Arial" w:hAnsi="Arial" w:cs="Arial"/>
          <w:sz w:val="18"/>
          <w:szCs w:val="18"/>
        </w:rPr>
      </w:pPr>
    </w:p>
    <w:p w14:paraId="48FEFB58" w14:textId="0892FA06" w:rsidR="00AB3A30" w:rsidRPr="00980FD9" w:rsidRDefault="00CC4939" w:rsidP="00980FD9">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80FD9">
        <w:rPr>
          <w:rFonts w:ascii="Arial" w:eastAsia="Times New Roman" w:hAnsi="Arial" w:cs="Arial"/>
          <w:sz w:val="18"/>
          <w:szCs w:val="18"/>
          <w:lang w:eastAsia="es-ES"/>
        </w:rPr>
        <w:t>El Grupo se encuentra activamente implicado en el proceso de desinversión de aquellos activos inmobiliarios que no se encuentran en explotación, por lo que los activos inmobiliarios correspondientes a las fábricas de Logroño y Aduana han sido traspasados al epígrafe de “Activos no corrientes mantenidos para la venta” (una vez terminados los contratos de arre</w:t>
      </w:r>
      <w:r w:rsidR="00E4248F" w:rsidRPr="00980FD9">
        <w:rPr>
          <w:rFonts w:ascii="Arial" w:eastAsia="Times New Roman" w:hAnsi="Arial" w:cs="Arial"/>
          <w:sz w:val="18"/>
          <w:szCs w:val="18"/>
          <w:lang w:eastAsia="es-ES"/>
        </w:rPr>
        <w:t>ndamientos vigentes con fecha 18</w:t>
      </w:r>
      <w:r w:rsidRPr="00980FD9">
        <w:rPr>
          <w:rFonts w:ascii="Arial" w:eastAsia="Times New Roman" w:hAnsi="Arial" w:cs="Arial"/>
          <w:sz w:val="18"/>
          <w:szCs w:val="18"/>
          <w:lang w:eastAsia="es-ES"/>
        </w:rPr>
        <w:t xml:space="preserve"> de mayo de 2018</w:t>
      </w:r>
      <w:r w:rsidR="00E4248F" w:rsidRPr="00980FD9">
        <w:rPr>
          <w:rFonts w:ascii="Arial" w:eastAsia="Times New Roman" w:hAnsi="Arial" w:cs="Arial"/>
          <w:sz w:val="18"/>
          <w:szCs w:val="18"/>
          <w:lang w:eastAsia="es-ES"/>
        </w:rPr>
        <w:t xml:space="preserve"> ta</w:t>
      </w:r>
      <w:r w:rsidR="0014094C" w:rsidRPr="00980FD9">
        <w:rPr>
          <w:rFonts w:ascii="Arial" w:eastAsia="Times New Roman" w:hAnsi="Arial" w:cs="Arial"/>
          <w:sz w:val="18"/>
          <w:szCs w:val="18"/>
          <w:lang w:eastAsia="es-ES"/>
        </w:rPr>
        <w:t xml:space="preserve">l como se indica en la Nota 5 de </w:t>
      </w:r>
      <w:r w:rsidR="00E4248F" w:rsidRPr="00980FD9">
        <w:rPr>
          <w:rFonts w:ascii="Arial" w:eastAsia="Times New Roman" w:hAnsi="Arial" w:cs="Arial"/>
          <w:sz w:val="18"/>
          <w:szCs w:val="18"/>
          <w:lang w:eastAsia="es-ES"/>
        </w:rPr>
        <w:t>Activos y pasivos contingentes</w:t>
      </w:r>
      <w:r w:rsidRPr="00980FD9">
        <w:rPr>
          <w:rFonts w:ascii="Arial" w:eastAsia="Times New Roman" w:hAnsi="Arial" w:cs="Arial"/>
          <w:sz w:val="18"/>
          <w:szCs w:val="18"/>
          <w:lang w:eastAsia="es-ES"/>
        </w:rPr>
        <w:t>), cuyos valores netos contables al 30 de junio de 2018 ascienden a 3.585 miles de euros y 3.621 miles de euros respectivamente.</w:t>
      </w:r>
      <w:r w:rsidR="00DC0610" w:rsidRPr="00980FD9">
        <w:rPr>
          <w:rFonts w:ascii="Arial" w:eastAsia="Times New Roman" w:hAnsi="Arial" w:cs="Arial"/>
          <w:sz w:val="18"/>
          <w:szCs w:val="18"/>
          <w:lang w:eastAsia="es-ES"/>
        </w:rPr>
        <w:t xml:space="preserve"> Es intención del Grupo vender dichas instalaciones, esperándose su venta en un periodo inferior a 12 meses.</w:t>
      </w:r>
    </w:p>
    <w:p w14:paraId="78FD2852" w14:textId="77777777" w:rsidR="00CC4939" w:rsidRDefault="00CC4939" w:rsidP="00980FD9">
      <w:pPr>
        <w:spacing w:after="0" w:line="240" w:lineRule="auto"/>
        <w:jc w:val="both"/>
        <w:rPr>
          <w:rFonts w:ascii="Arial" w:hAnsi="Arial" w:cs="Arial"/>
          <w:color w:val="000000"/>
          <w:sz w:val="18"/>
          <w:szCs w:val="18"/>
        </w:rPr>
      </w:pPr>
    </w:p>
    <w:p w14:paraId="2300CB53" w14:textId="77777777" w:rsidR="00CC4939" w:rsidRDefault="00CC4939" w:rsidP="003D4248">
      <w:pPr>
        <w:spacing w:after="0" w:line="240" w:lineRule="auto"/>
        <w:ind w:left="426"/>
        <w:jc w:val="both"/>
        <w:rPr>
          <w:rFonts w:ascii="Arial" w:hAnsi="Arial" w:cs="Arial"/>
          <w:color w:val="000000"/>
          <w:sz w:val="18"/>
          <w:szCs w:val="18"/>
        </w:rPr>
      </w:pPr>
      <w:r>
        <w:rPr>
          <w:rFonts w:ascii="Arial" w:hAnsi="Arial" w:cs="Arial"/>
          <w:color w:val="000000"/>
          <w:sz w:val="18"/>
          <w:szCs w:val="18"/>
        </w:rPr>
        <w:t>Al 30 de junio de 2018 este epígrafe recoge únicamente un solar en Alcalá de Henares.</w:t>
      </w:r>
    </w:p>
    <w:p w14:paraId="7084FA9A" w14:textId="77777777" w:rsidR="003D4248" w:rsidRDefault="003D4248" w:rsidP="003D4248">
      <w:pPr>
        <w:spacing w:after="0" w:line="240" w:lineRule="auto"/>
        <w:jc w:val="both"/>
        <w:rPr>
          <w:rFonts w:ascii="Arial" w:hAnsi="Arial" w:cs="Arial"/>
          <w:sz w:val="18"/>
          <w:szCs w:val="18"/>
        </w:rPr>
      </w:pPr>
    </w:p>
    <w:p w14:paraId="388EE2C7" w14:textId="46A09F49" w:rsidR="009B3D24" w:rsidRDefault="009B3D24" w:rsidP="003D4248">
      <w:pPr>
        <w:spacing w:after="0" w:line="240" w:lineRule="auto"/>
        <w:jc w:val="both"/>
        <w:rPr>
          <w:rFonts w:ascii="Arial" w:hAnsi="Arial" w:cs="Arial"/>
          <w:sz w:val="18"/>
          <w:szCs w:val="18"/>
        </w:rPr>
      </w:pPr>
    </w:p>
    <w:p w14:paraId="1B0B9EF8" w14:textId="77777777" w:rsidR="0085056D" w:rsidRDefault="0085056D" w:rsidP="003D4248">
      <w:pPr>
        <w:spacing w:after="0" w:line="240" w:lineRule="auto"/>
        <w:jc w:val="both"/>
        <w:rPr>
          <w:rFonts w:ascii="Arial" w:hAnsi="Arial" w:cs="Arial"/>
          <w:sz w:val="18"/>
          <w:szCs w:val="18"/>
        </w:rPr>
      </w:pPr>
    </w:p>
    <w:p w14:paraId="6DC3675F" w14:textId="77777777" w:rsidR="00BD366B" w:rsidRDefault="00BD366B" w:rsidP="003D4248">
      <w:pPr>
        <w:spacing w:after="0" w:line="240" w:lineRule="auto"/>
        <w:jc w:val="both"/>
        <w:rPr>
          <w:rFonts w:ascii="Arial" w:hAnsi="Arial" w:cs="Arial"/>
          <w:sz w:val="18"/>
          <w:szCs w:val="18"/>
        </w:rPr>
      </w:pPr>
    </w:p>
    <w:p w14:paraId="5C9EB772" w14:textId="77777777" w:rsidR="003D4248" w:rsidRDefault="003D4248" w:rsidP="003D4248">
      <w:pPr>
        <w:numPr>
          <w:ilvl w:val="0"/>
          <w:numId w:val="4"/>
        </w:numPr>
        <w:spacing w:after="0" w:line="240" w:lineRule="auto"/>
        <w:ind w:left="426" w:hanging="284"/>
        <w:jc w:val="both"/>
        <w:rPr>
          <w:rFonts w:ascii="Arial" w:hAnsi="Arial" w:cs="Arial"/>
          <w:color w:val="000000"/>
          <w:sz w:val="18"/>
          <w:szCs w:val="18"/>
        </w:rPr>
      </w:pPr>
      <w:r>
        <w:rPr>
          <w:rFonts w:ascii="Arial" w:hAnsi="Arial" w:cs="Arial"/>
          <w:color w:val="000000"/>
          <w:sz w:val="18"/>
          <w:szCs w:val="18"/>
        </w:rPr>
        <w:lastRenderedPageBreak/>
        <w:t>Activos y Pasivos No Corrientes Mantenidos para la Venta</w:t>
      </w:r>
    </w:p>
    <w:p w14:paraId="4FF0715F" w14:textId="77777777" w:rsidR="003D4248" w:rsidRDefault="003D4248" w:rsidP="003D4248">
      <w:pPr>
        <w:spacing w:after="0" w:line="240" w:lineRule="auto"/>
        <w:jc w:val="both"/>
        <w:rPr>
          <w:rFonts w:ascii="Arial" w:hAnsi="Arial" w:cs="Arial"/>
          <w:color w:val="000000"/>
          <w:sz w:val="18"/>
          <w:szCs w:val="18"/>
        </w:rPr>
      </w:pPr>
    </w:p>
    <w:p w14:paraId="563A2500" w14:textId="77777777" w:rsidR="00D91119" w:rsidRDefault="00D91119" w:rsidP="00D91119">
      <w:pPr>
        <w:spacing w:after="0" w:line="240" w:lineRule="auto"/>
        <w:ind w:left="426"/>
        <w:jc w:val="both"/>
        <w:rPr>
          <w:rFonts w:ascii="Arial" w:hAnsi="Arial" w:cs="Arial"/>
          <w:color w:val="000000"/>
          <w:sz w:val="18"/>
          <w:szCs w:val="18"/>
        </w:rPr>
      </w:pPr>
      <w:r>
        <w:rPr>
          <w:rFonts w:ascii="Arial" w:hAnsi="Arial" w:cs="Arial"/>
          <w:color w:val="000000"/>
          <w:sz w:val="18"/>
          <w:szCs w:val="18"/>
        </w:rPr>
        <w:t>Las principales variaciones consideradas durante el primer semestre del 2018 han sido las siguientes:</w:t>
      </w:r>
    </w:p>
    <w:p w14:paraId="0FAA4286" w14:textId="77777777" w:rsidR="00D91119" w:rsidRDefault="00D91119" w:rsidP="00D91119">
      <w:pPr>
        <w:spacing w:after="0" w:line="240" w:lineRule="auto"/>
        <w:ind w:left="426"/>
        <w:jc w:val="both"/>
        <w:rPr>
          <w:rFonts w:ascii="Arial" w:hAnsi="Arial" w:cs="Arial"/>
          <w:color w:val="000000"/>
          <w:sz w:val="18"/>
          <w:szCs w:val="18"/>
        </w:rPr>
      </w:pPr>
    </w:p>
    <w:p w14:paraId="11C6DA23" w14:textId="77777777" w:rsidR="0042048D" w:rsidRPr="00980FD9" w:rsidRDefault="00D91119" w:rsidP="00980FD9">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980FD9">
        <w:rPr>
          <w:rFonts w:ascii="Arial" w:eastAsia="Times New Roman" w:hAnsi="Arial" w:cs="Arial"/>
          <w:sz w:val="18"/>
          <w:szCs w:val="18"/>
          <w:lang w:eastAsia="es-ES"/>
        </w:rPr>
        <w:t>Con fecha 9 de enero de 2018 se ha ejecutado la venta de los activos inmobiliarios del almacén de Paris</w:t>
      </w:r>
      <w:r w:rsidR="00605BEA" w:rsidRPr="00980FD9">
        <w:rPr>
          <w:rFonts w:ascii="Arial" w:eastAsia="Times New Roman" w:hAnsi="Arial" w:cs="Arial"/>
          <w:sz w:val="18"/>
          <w:szCs w:val="18"/>
          <w:lang w:eastAsia="es-ES"/>
        </w:rPr>
        <w:t xml:space="preserve">, </w:t>
      </w:r>
      <w:r w:rsidR="00CC5EA7" w:rsidRPr="00980FD9">
        <w:rPr>
          <w:rFonts w:ascii="Arial" w:eastAsia="Times New Roman" w:hAnsi="Arial" w:cs="Arial"/>
          <w:sz w:val="18"/>
          <w:szCs w:val="18"/>
          <w:lang w:eastAsia="es-ES"/>
        </w:rPr>
        <w:t>por un precio de venta de</w:t>
      </w:r>
      <w:r w:rsidR="00605BEA" w:rsidRPr="00980FD9">
        <w:rPr>
          <w:rFonts w:ascii="Arial" w:eastAsia="Times New Roman" w:hAnsi="Arial" w:cs="Arial"/>
          <w:sz w:val="18"/>
          <w:szCs w:val="18"/>
          <w:lang w:eastAsia="es-ES"/>
        </w:rPr>
        <w:t xml:space="preserve"> 8 millones de euros, </w:t>
      </w:r>
      <w:r w:rsidR="00CC5EA7" w:rsidRPr="00980FD9">
        <w:rPr>
          <w:rFonts w:ascii="Arial" w:eastAsia="Times New Roman" w:hAnsi="Arial" w:cs="Arial"/>
          <w:sz w:val="18"/>
          <w:szCs w:val="18"/>
          <w:lang w:eastAsia="es-ES"/>
        </w:rPr>
        <w:t xml:space="preserve">obteniendo un resultado positivo de </w:t>
      </w:r>
      <w:r w:rsidR="008F72D5" w:rsidRPr="00980FD9">
        <w:rPr>
          <w:rFonts w:ascii="Arial" w:eastAsia="Times New Roman" w:hAnsi="Arial" w:cs="Arial"/>
          <w:sz w:val="18"/>
          <w:szCs w:val="18"/>
          <w:lang w:eastAsia="es-ES"/>
        </w:rPr>
        <w:t>3.96</w:t>
      </w:r>
      <w:r w:rsidR="00DC0610" w:rsidRPr="00980FD9">
        <w:rPr>
          <w:rFonts w:ascii="Arial" w:eastAsia="Times New Roman" w:hAnsi="Arial" w:cs="Arial"/>
          <w:sz w:val="18"/>
          <w:szCs w:val="18"/>
          <w:lang w:eastAsia="es-ES"/>
        </w:rPr>
        <w:t>0 miles de euros neto de impacto fiscal</w:t>
      </w:r>
      <w:r w:rsidR="00854FE5" w:rsidRPr="00980FD9">
        <w:rPr>
          <w:rFonts w:ascii="Arial" w:eastAsia="Times New Roman" w:hAnsi="Arial" w:cs="Arial"/>
          <w:sz w:val="18"/>
          <w:szCs w:val="18"/>
          <w:lang w:eastAsia="es-ES"/>
        </w:rPr>
        <w:t>,</w:t>
      </w:r>
      <w:r w:rsidR="007713D4" w:rsidRPr="00980FD9">
        <w:rPr>
          <w:rFonts w:ascii="Arial" w:eastAsia="Times New Roman" w:hAnsi="Arial" w:cs="Arial"/>
          <w:sz w:val="18"/>
          <w:szCs w:val="18"/>
          <w:lang w:eastAsia="es-ES"/>
        </w:rPr>
        <w:t xml:space="preserve"> </w:t>
      </w:r>
      <w:r w:rsidR="0095455C">
        <w:rPr>
          <w:rFonts w:ascii="Arial" w:eastAsia="Times New Roman" w:hAnsi="Arial" w:cs="Arial"/>
          <w:sz w:val="18"/>
          <w:szCs w:val="18"/>
          <w:lang w:eastAsia="es-ES"/>
        </w:rPr>
        <w:t xml:space="preserve">recogido en los estados financieros consolidados intermedios </w:t>
      </w:r>
      <w:r w:rsidR="00DC0610" w:rsidRPr="00980FD9">
        <w:rPr>
          <w:rFonts w:ascii="Arial" w:eastAsia="Times New Roman" w:hAnsi="Arial" w:cs="Arial"/>
          <w:sz w:val="18"/>
          <w:szCs w:val="18"/>
          <w:lang w:eastAsia="es-ES"/>
        </w:rPr>
        <w:t>del periodo de seis meses terminado el 30 de junio de 2018.</w:t>
      </w:r>
    </w:p>
    <w:p w14:paraId="14AB20D2" w14:textId="77777777" w:rsidR="00D91119" w:rsidRDefault="00605BEA" w:rsidP="00DC0610">
      <w:pPr>
        <w:pStyle w:val="Prrafodelista"/>
        <w:spacing w:after="0" w:line="240" w:lineRule="auto"/>
        <w:ind w:left="786"/>
        <w:jc w:val="both"/>
        <w:rPr>
          <w:rFonts w:ascii="Arial" w:hAnsi="Arial" w:cs="Arial"/>
          <w:color w:val="000000"/>
          <w:sz w:val="18"/>
          <w:szCs w:val="18"/>
        </w:rPr>
      </w:pPr>
      <w:r>
        <w:rPr>
          <w:rFonts w:ascii="Arial" w:hAnsi="Arial" w:cs="Arial"/>
          <w:color w:val="000000"/>
          <w:sz w:val="18"/>
          <w:szCs w:val="18"/>
        </w:rPr>
        <w:t xml:space="preserve"> </w:t>
      </w:r>
    </w:p>
    <w:p w14:paraId="0416E34C" w14:textId="77777777" w:rsidR="00050A0E" w:rsidRPr="00980FD9" w:rsidRDefault="00DC0610" w:rsidP="00050A0E">
      <w:pPr>
        <w:pStyle w:val="Prrafodelista"/>
        <w:numPr>
          <w:ilvl w:val="0"/>
          <w:numId w:val="12"/>
        </w:numPr>
        <w:autoSpaceDE w:val="0"/>
        <w:autoSpaceDN w:val="0"/>
        <w:adjustRightInd w:val="0"/>
        <w:spacing w:after="0" w:line="240" w:lineRule="auto"/>
        <w:jc w:val="both"/>
        <w:rPr>
          <w:rFonts w:ascii="Arial" w:eastAsia="Times New Roman" w:hAnsi="Arial" w:cs="Arial"/>
          <w:sz w:val="18"/>
          <w:szCs w:val="18"/>
          <w:lang w:eastAsia="es-ES"/>
        </w:rPr>
      </w:pPr>
      <w:r w:rsidRPr="00050A0E">
        <w:rPr>
          <w:rFonts w:ascii="Arial" w:eastAsia="Times New Roman" w:hAnsi="Arial" w:cs="Arial"/>
          <w:sz w:val="18"/>
          <w:szCs w:val="18"/>
          <w:lang w:eastAsia="es-ES"/>
        </w:rPr>
        <w:t>Con fecha 23 de mayo de 2018</w:t>
      </w:r>
      <w:r w:rsidR="00854FE5" w:rsidRPr="00050A0E">
        <w:rPr>
          <w:rFonts w:ascii="Arial" w:eastAsia="Times New Roman" w:hAnsi="Arial" w:cs="Arial"/>
          <w:sz w:val="18"/>
          <w:szCs w:val="18"/>
          <w:lang w:eastAsia="es-ES"/>
        </w:rPr>
        <w:t xml:space="preserve"> se ha procedido a la venta del almacén de </w:t>
      </w:r>
      <w:proofErr w:type="spellStart"/>
      <w:r w:rsidR="00854FE5" w:rsidRPr="00050A0E">
        <w:rPr>
          <w:rFonts w:ascii="Arial" w:eastAsia="Times New Roman" w:hAnsi="Arial" w:cs="Arial"/>
          <w:sz w:val="18"/>
          <w:szCs w:val="18"/>
          <w:lang w:eastAsia="es-ES"/>
        </w:rPr>
        <w:t>Châteauroux</w:t>
      </w:r>
      <w:proofErr w:type="spellEnd"/>
      <w:r w:rsidR="00854FE5" w:rsidRPr="00050A0E">
        <w:rPr>
          <w:rFonts w:ascii="Arial" w:eastAsia="Times New Roman" w:hAnsi="Arial" w:cs="Arial"/>
          <w:sz w:val="18"/>
          <w:szCs w:val="18"/>
          <w:lang w:eastAsia="es-ES"/>
        </w:rPr>
        <w:t xml:space="preserve"> por un precio de venta de 5.025 miles de euros, obtenie</w:t>
      </w:r>
      <w:r w:rsidR="00CB7763" w:rsidRPr="00050A0E">
        <w:rPr>
          <w:rFonts w:ascii="Arial" w:eastAsia="Times New Roman" w:hAnsi="Arial" w:cs="Arial"/>
          <w:sz w:val="18"/>
          <w:szCs w:val="18"/>
          <w:lang w:eastAsia="es-ES"/>
        </w:rPr>
        <w:t>ndo un resultado positivo de 205</w:t>
      </w:r>
      <w:r w:rsidR="00854FE5" w:rsidRPr="00050A0E">
        <w:rPr>
          <w:rFonts w:ascii="Arial" w:eastAsia="Times New Roman" w:hAnsi="Arial" w:cs="Arial"/>
          <w:sz w:val="18"/>
          <w:szCs w:val="18"/>
          <w:lang w:eastAsia="es-ES"/>
        </w:rPr>
        <w:t xml:space="preserve"> miles de euros neto de impacto fiscal y gastos vin</w:t>
      </w:r>
      <w:r w:rsidR="00050A0E">
        <w:rPr>
          <w:rFonts w:ascii="Arial" w:eastAsia="Times New Roman" w:hAnsi="Arial" w:cs="Arial"/>
          <w:sz w:val="18"/>
          <w:szCs w:val="18"/>
          <w:lang w:eastAsia="es-ES"/>
        </w:rPr>
        <w:t xml:space="preserve">culados a la venta, recogido en los estados financieros consolidados intermedios </w:t>
      </w:r>
      <w:r w:rsidR="00050A0E" w:rsidRPr="00980FD9">
        <w:rPr>
          <w:rFonts w:ascii="Arial" w:eastAsia="Times New Roman" w:hAnsi="Arial" w:cs="Arial"/>
          <w:sz w:val="18"/>
          <w:szCs w:val="18"/>
          <w:lang w:eastAsia="es-ES"/>
        </w:rPr>
        <w:t>del periodo de seis meses terminado el 30 de junio de 2018.</w:t>
      </w:r>
    </w:p>
    <w:p w14:paraId="7D1A8743" w14:textId="77777777" w:rsidR="00D91119" w:rsidRPr="00050A0E" w:rsidRDefault="00D91119" w:rsidP="00050A0E">
      <w:pPr>
        <w:pStyle w:val="Prrafodelista"/>
        <w:autoSpaceDE w:val="0"/>
        <w:autoSpaceDN w:val="0"/>
        <w:adjustRightInd w:val="0"/>
        <w:spacing w:after="0" w:line="240" w:lineRule="auto"/>
        <w:ind w:left="426"/>
        <w:jc w:val="both"/>
        <w:rPr>
          <w:rFonts w:ascii="Arial" w:hAnsi="Arial" w:cs="Arial"/>
          <w:color w:val="000000"/>
          <w:sz w:val="18"/>
          <w:szCs w:val="18"/>
        </w:rPr>
      </w:pPr>
    </w:p>
    <w:p w14:paraId="7DC41F6E" w14:textId="77777777" w:rsidR="003D4248" w:rsidRDefault="006F47F1" w:rsidP="002704AA">
      <w:pPr>
        <w:spacing w:after="0" w:line="240" w:lineRule="auto"/>
        <w:ind w:left="426"/>
        <w:jc w:val="both"/>
        <w:rPr>
          <w:rFonts w:ascii="Arial" w:hAnsi="Arial" w:cs="Arial"/>
          <w:color w:val="000000"/>
          <w:sz w:val="18"/>
          <w:szCs w:val="18"/>
        </w:rPr>
      </w:pPr>
      <w:r>
        <w:rPr>
          <w:rFonts w:ascii="Arial" w:hAnsi="Arial" w:cs="Arial"/>
          <w:color w:val="000000"/>
          <w:sz w:val="18"/>
          <w:szCs w:val="18"/>
        </w:rPr>
        <w:t xml:space="preserve">Al 30 de junio de 2018 este epígrafe recoge los activos inmobiliarios de </w:t>
      </w:r>
      <w:r w:rsidR="002704AA">
        <w:rPr>
          <w:rFonts w:ascii="Arial" w:hAnsi="Arial" w:cs="Arial"/>
          <w:color w:val="000000"/>
          <w:sz w:val="18"/>
          <w:szCs w:val="18"/>
        </w:rPr>
        <w:t>los centros de Tres Cantos, Aduna y Logroño indicados en los apartados II. Inmovilizado material y III. Inversiones inmobiliarias anteriores.</w:t>
      </w:r>
    </w:p>
    <w:p w14:paraId="67F6B62B" w14:textId="77777777" w:rsidR="003D4248" w:rsidRPr="00122C2A" w:rsidRDefault="003D4248" w:rsidP="003D4248">
      <w:pPr>
        <w:spacing w:after="0" w:line="240" w:lineRule="auto"/>
        <w:ind w:left="426"/>
        <w:jc w:val="both"/>
        <w:rPr>
          <w:rFonts w:ascii="Arial" w:hAnsi="Arial" w:cs="Arial"/>
          <w:color w:val="000000"/>
          <w:sz w:val="18"/>
          <w:szCs w:val="18"/>
        </w:rPr>
      </w:pPr>
    </w:p>
    <w:p w14:paraId="7EB78F85" w14:textId="77777777" w:rsidR="003D4248" w:rsidRDefault="003D4248" w:rsidP="003D4248">
      <w:pPr>
        <w:numPr>
          <w:ilvl w:val="0"/>
          <w:numId w:val="4"/>
        </w:numPr>
        <w:spacing w:after="0" w:line="240" w:lineRule="auto"/>
        <w:ind w:left="426" w:hanging="284"/>
        <w:jc w:val="both"/>
        <w:rPr>
          <w:rFonts w:ascii="Arial" w:hAnsi="Arial" w:cs="Arial"/>
          <w:color w:val="000000"/>
          <w:sz w:val="18"/>
          <w:szCs w:val="18"/>
        </w:rPr>
      </w:pPr>
      <w:r>
        <w:rPr>
          <w:rFonts w:ascii="Arial" w:hAnsi="Arial" w:cs="Arial"/>
          <w:color w:val="000000"/>
          <w:sz w:val="18"/>
          <w:szCs w:val="18"/>
        </w:rPr>
        <w:t>Patrimonio Neto</w:t>
      </w:r>
    </w:p>
    <w:p w14:paraId="6309E3D7" w14:textId="77777777" w:rsidR="0042048D" w:rsidRDefault="0042048D" w:rsidP="0042048D">
      <w:pPr>
        <w:spacing w:after="0" w:line="240" w:lineRule="auto"/>
        <w:ind w:left="426"/>
        <w:jc w:val="both"/>
        <w:rPr>
          <w:rFonts w:ascii="Arial" w:hAnsi="Arial" w:cs="Arial"/>
          <w:color w:val="000000"/>
          <w:sz w:val="18"/>
          <w:szCs w:val="18"/>
        </w:rPr>
      </w:pPr>
    </w:p>
    <w:p w14:paraId="0D769922" w14:textId="77777777" w:rsidR="003D4248" w:rsidRDefault="003D4248" w:rsidP="003D4248">
      <w:pPr>
        <w:spacing w:after="0" w:line="240" w:lineRule="auto"/>
        <w:ind w:left="426"/>
        <w:jc w:val="both"/>
        <w:rPr>
          <w:rFonts w:ascii="Arial" w:hAnsi="Arial" w:cs="Arial"/>
          <w:color w:val="000000"/>
          <w:sz w:val="18"/>
          <w:szCs w:val="18"/>
        </w:rPr>
      </w:pPr>
      <w:r w:rsidRPr="001128C4">
        <w:rPr>
          <w:rFonts w:ascii="Arial" w:hAnsi="Arial" w:cs="Arial"/>
          <w:color w:val="000000"/>
          <w:sz w:val="18"/>
          <w:szCs w:val="18"/>
        </w:rPr>
        <w:t>La composición y el movimiento del patrimonio neto se presentan en la nota 9 del capítulo IV del Informe Financiero Semestral “Estado total de cambios en el patrimonio neto consolidado”.</w:t>
      </w:r>
    </w:p>
    <w:p w14:paraId="19DD61A7" w14:textId="77777777" w:rsidR="003D4248" w:rsidRPr="001128C4" w:rsidRDefault="003D4248" w:rsidP="003D4248">
      <w:pPr>
        <w:spacing w:after="0" w:line="240" w:lineRule="auto"/>
        <w:ind w:left="426"/>
        <w:jc w:val="both"/>
        <w:rPr>
          <w:rFonts w:ascii="Arial" w:hAnsi="Arial" w:cs="Arial"/>
          <w:color w:val="000000"/>
          <w:sz w:val="18"/>
          <w:szCs w:val="18"/>
        </w:rPr>
      </w:pPr>
    </w:p>
    <w:p w14:paraId="5CF81543" w14:textId="098E7C25" w:rsidR="003D4248" w:rsidRDefault="002704AA" w:rsidP="003D4248">
      <w:pPr>
        <w:spacing w:after="0" w:line="240" w:lineRule="auto"/>
        <w:ind w:left="426"/>
        <w:jc w:val="both"/>
        <w:rPr>
          <w:rFonts w:ascii="Arial" w:hAnsi="Arial" w:cs="Arial"/>
          <w:color w:val="000000"/>
          <w:sz w:val="18"/>
          <w:szCs w:val="18"/>
        </w:rPr>
      </w:pPr>
      <w:r>
        <w:rPr>
          <w:rFonts w:ascii="Arial" w:hAnsi="Arial" w:cs="Arial"/>
          <w:color w:val="000000"/>
          <w:sz w:val="18"/>
          <w:szCs w:val="18"/>
        </w:rPr>
        <w:t>Al 30 de junio de 2018 y 31 de diciembre de 2017</w:t>
      </w:r>
      <w:r w:rsidR="003D4248">
        <w:rPr>
          <w:rFonts w:ascii="Arial" w:hAnsi="Arial" w:cs="Arial"/>
          <w:color w:val="000000"/>
          <w:sz w:val="18"/>
          <w:szCs w:val="18"/>
        </w:rPr>
        <w:t xml:space="preserve"> el capital social de la Sociedad dominante está representado por 21.422.512 acciones ordinarias por un valor nominal de 1,50 euros cada una de ellas, constituidas de una misma clase y serie y totalmente desembolsadas, y representadas mediante anotaciones en cuenta, admitidas a cotización oficial en las Bolsas de Madrid y Valencia.</w:t>
      </w:r>
    </w:p>
    <w:p w14:paraId="3454A420" w14:textId="77777777" w:rsidR="003D4248" w:rsidRDefault="003D4248" w:rsidP="003D4248">
      <w:pPr>
        <w:spacing w:after="0" w:line="240" w:lineRule="auto"/>
        <w:ind w:left="426"/>
        <w:jc w:val="both"/>
        <w:rPr>
          <w:rFonts w:ascii="Arial" w:hAnsi="Arial" w:cs="Arial"/>
          <w:color w:val="000000"/>
          <w:sz w:val="18"/>
          <w:szCs w:val="18"/>
        </w:rPr>
      </w:pPr>
    </w:p>
    <w:p w14:paraId="2E2931F9" w14:textId="77777777" w:rsidR="003D4248" w:rsidRDefault="003D4248" w:rsidP="003D4248">
      <w:pPr>
        <w:spacing w:after="0" w:line="240" w:lineRule="auto"/>
        <w:ind w:left="426"/>
        <w:jc w:val="both"/>
        <w:rPr>
          <w:rFonts w:ascii="Arial" w:hAnsi="Arial" w:cs="Arial"/>
          <w:color w:val="000000"/>
          <w:sz w:val="18"/>
          <w:szCs w:val="18"/>
        </w:rPr>
      </w:pPr>
      <w:r>
        <w:rPr>
          <w:rFonts w:ascii="Arial" w:hAnsi="Arial" w:cs="Arial"/>
          <w:color w:val="000000"/>
          <w:sz w:val="18"/>
          <w:szCs w:val="18"/>
        </w:rPr>
        <w:t>Tras la ampliación de capital por aportaciones dinerarias con una prima de emisión de 1,75 euros por título, la prima de emisión asciende a 14.954 miles de euros.</w:t>
      </w:r>
    </w:p>
    <w:p w14:paraId="7D6EE8D5" w14:textId="77777777" w:rsidR="003D4248" w:rsidRDefault="003D4248" w:rsidP="003D4248">
      <w:pPr>
        <w:spacing w:after="0" w:line="240" w:lineRule="auto"/>
        <w:ind w:left="426"/>
        <w:jc w:val="both"/>
        <w:rPr>
          <w:rFonts w:ascii="Arial" w:hAnsi="Arial" w:cs="Arial"/>
          <w:color w:val="000000"/>
          <w:sz w:val="18"/>
          <w:szCs w:val="18"/>
        </w:rPr>
      </w:pPr>
    </w:p>
    <w:p w14:paraId="22E7293E" w14:textId="77777777" w:rsidR="003D4248" w:rsidRDefault="003D4248" w:rsidP="0042048D">
      <w:pPr>
        <w:spacing w:after="0" w:line="240" w:lineRule="auto"/>
        <w:ind w:left="426"/>
        <w:jc w:val="both"/>
        <w:rPr>
          <w:rFonts w:ascii="Arial" w:hAnsi="Arial" w:cs="Arial"/>
          <w:color w:val="000000"/>
          <w:sz w:val="18"/>
          <w:szCs w:val="18"/>
        </w:rPr>
      </w:pPr>
      <w:r>
        <w:rPr>
          <w:rFonts w:ascii="Arial" w:hAnsi="Arial" w:cs="Arial"/>
          <w:color w:val="000000"/>
          <w:sz w:val="18"/>
          <w:szCs w:val="18"/>
        </w:rPr>
        <w:t>Los principales movimientos ocurridos en el patrimonio neto durante el pr</w:t>
      </w:r>
      <w:r w:rsidR="002704AA">
        <w:rPr>
          <w:rFonts w:ascii="Arial" w:hAnsi="Arial" w:cs="Arial"/>
          <w:color w:val="000000"/>
          <w:sz w:val="18"/>
          <w:szCs w:val="18"/>
        </w:rPr>
        <w:t>imer semestre del ejercicio 2018</w:t>
      </w:r>
      <w:r>
        <w:rPr>
          <w:rFonts w:ascii="Arial" w:hAnsi="Arial" w:cs="Arial"/>
          <w:color w:val="000000"/>
          <w:sz w:val="18"/>
          <w:szCs w:val="18"/>
        </w:rPr>
        <w:t xml:space="preserve"> corresponden a la aplicación de las pérdidas a resultados negativos acumulados de ejercicios anteriores.</w:t>
      </w:r>
    </w:p>
    <w:p w14:paraId="1925FEBA" w14:textId="77777777" w:rsidR="0042048D" w:rsidRPr="0042048D" w:rsidRDefault="0042048D" w:rsidP="0042048D">
      <w:pPr>
        <w:spacing w:after="0" w:line="240" w:lineRule="auto"/>
        <w:ind w:left="426"/>
        <w:jc w:val="both"/>
        <w:rPr>
          <w:rFonts w:ascii="Arial" w:hAnsi="Arial" w:cs="Arial"/>
          <w:color w:val="000000"/>
          <w:sz w:val="18"/>
          <w:szCs w:val="18"/>
        </w:rPr>
      </w:pPr>
    </w:p>
    <w:p w14:paraId="61A9D8D2" w14:textId="77777777" w:rsidR="003D4248" w:rsidRDefault="003D4248" w:rsidP="003D4248">
      <w:pPr>
        <w:spacing w:after="0" w:line="240" w:lineRule="auto"/>
        <w:ind w:left="426"/>
        <w:jc w:val="both"/>
        <w:rPr>
          <w:rFonts w:ascii="Arial" w:hAnsi="Arial" w:cs="Arial"/>
          <w:sz w:val="18"/>
          <w:szCs w:val="18"/>
          <w:u w:val="single"/>
        </w:rPr>
      </w:pPr>
      <w:r w:rsidRPr="00E1361A">
        <w:rPr>
          <w:rFonts w:ascii="Arial" w:hAnsi="Arial" w:cs="Arial"/>
          <w:sz w:val="18"/>
          <w:szCs w:val="18"/>
          <w:u w:val="single"/>
        </w:rPr>
        <w:t>Acciones propias</w:t>
      </w:r>
    </w:p>
    <w:p w14:paraId="4BEFD36B" w14:textId="77777777" w:rsidR="003D4248" w:rsidRDefault="003D4248" w:rsidP="003D4248">
      <w:pPr>
        <w:spacing w:after="0" w:line="240" w:lineRule="auto"/>
        <w:ind w:left="426"/>
        <w:jc w:val="both"/>
        <w:rPr>
          <w:rFonts w:ascii="Arial" w:hAnsi="Arial" w:cs="Arial"/>
          <w:sz w:val="18"/>
          <w:szCs w:val="18"/>
          <w:u w:val="single"/>
        </w:rPr>
      </w:pPr>
    </w:p>
    <w:p w14:paraId="4A8E95A0" w14:textId="77777777" w:rsidR="002704AA" w:rsidRDefault="002704AA" w:rsidP="003D4248">
      <w:pPr>
        <w:spacing w:after="0" w:line="240" w:lineRule="auto"/>
        <w:ind w:left="426"/>
        <w:jc w:val="both"/>
        <w:rPr>
          <w:rFonts w:ascii="Arial" w:hAnsi="Arial" w:cs="Arial"/>
          <w:sz w:val="18"/>
          <w:szCs w:val="18"/>
        </w:rPr>
      </w:pPr>
      <w:r>
        <w:rPr>
          <w:rFonts w:ascii="Arial" w:hAnsi="Arial" w:cs="Arial"/>
          <w:sz w:val="18"/>
          <w:szCs w:val="18"/>
        </w:rPr>
        <w:t>No ha habido movimiento alguno de acciones propias, ascendiendo al 30 de junio de 2018 y 31 de diciembre de 2017 a 291.338 acciones con un valor de 1.594 miles de euros.</w:t>
      </w:r>
    </w:p>
    <w:p w14:paraId="5B0EE83A" w14:textId="77777777" w:rsidR="003D4248" w:rsidRDefault="003D4248" w:rsidP="003D4248">
      <w:pPr>
        <w:spacing w:after="0" w:line="240" w:lineRule="auto"/>
        <w:jc w:val="both"/>
        <w:rPr>
          <w:rFonts w:ascii="Arial" w:hAnsi="Arial" w:cs="Arial"/>
          <w:sz w:val="18"/>
          <w:szCs w:val="18"/>
        </w:rPr>
      </w:pPr>
    </w:p>
    <w:p w14:paraId="65EFCF63" w14:textId="77777777" w:rsidR="003D4248" w:rsidRDefault="003D4248" w:rsidP="003D4248">
      <w:pPr>
        <w:spacing w:after="0" w:line="240" w:lineRule="auto"/>
        <w:ind w:left="426"/>
        <w:jc w:val="both"/>
        <w:rPr>
          <w:rFonts w:ascii="Arial" w:hAnsi="Arial" w:cs="Arial"/>
          <w:sz w:val="18"/>
          <w:szCs w:val="18"/>
        </w:rPr>
      </w:pPr>
    </w:p>
    <w:p w14:paraId="3BF3EC65" w14:textId="77777777" w:rsidR="003D4248" w:rsidRPr="00955AB2" w:rsidRDefault="003D4248" w:rsidP="003D4248">
      <w:pPr>
        <w:numPr>
          <w:ilvl w:val="0"/>
          <w:numId w:val="4"/>
        </w:numPr>
        <w:spacing w:after="0" w:line="240" w:lineRule="auto"/>
        <w:ind w:left="426" w:hanging="284"/>
        <w:jc w:val="both"/>
        <w:rPr>
          <w:rFonts w:ascii="Arial" w:hAnsi="Arial" w:cs="Arial"/>
          <w:color w:val="000000"/>
          <w:sz w:val="18"/>
          <w:szCs w:val="18"/>
        </w:rPr>
      </w:pPr>
      <w:r w:rsidRPr="00955AB2">
        <w:rPr>
          <w:rFonts w:ascii="Arial" w:hAnsi="Arial" w:cs="Arial"/>
          <w:color w:val="000000"/>
          <w:sz w:val="18"/>
          <w:szCs w:val="18"/>
        </w:rPr>
        <w:t>Obligaciones, Préstamos y otros pasivos remunerados</w:t>
      </w:r>
    </w:p>
    <w:p w14:paraId="17C0B9F5" w14:textId="77777777" w:rsidR="003D4248" w:rsidRDefault="003D4248" w:rsidP="003D4248">
      <w:pPr>
        <w:spacing w:after="0" w:line="240" w:lineRule="auto"/>
        <w:ind w:left="426"/>
        <w:jc w:val="both"/>
        <w:rPr>
          <w:rFonts w:ascii="Arial" w:hAnsi="Arial" w:cs="Arial"/>
          <w:sz w:val="18"/>
          <w:szCs w:val="18"/>
        </w:rPr>
      </w:pPr>
    </w:p>
    <w:p w14:paraId="57AAA89F" w14:textId="77777777" w:rsidR="003D4248" w:rsidRPr="000E42EA" w:rsidRDefault="003D4248" w:rsidP="003D4248">
      <w:pPr>
        <w:spacing w:after="0" w:line="240" w:lineRule="auto"/>
        <w:ind w:left="426"/>
        <w:jc w:val="both"/>
        <w:rPr>
          <w:rFonts w:ascii="Arial" w:hAnsi="Arial" w:cs="Arial"/>
          <w:color w:val="000000"/>
          <w:sz w:val="18"/>
          <w:szCs w:val="18"/>
        </w:rPr>
      </w:pPr>
      <w:r w:rsidRPr="000E42EA">
        <w:rPr>
          <w:rFonts w:ascii="Arial" w:hAnsi="Arial" w:cs="Arial"/>
          <w:color w:val="000000"/>
          <w:sz w:val="18"/>
          <w:szCs w:val="18"/>
        </w:rPr>
        <w:t>En la nota 13 del capítulo IV de la información financiera semestral “Desglose de instrumentos financieros por naturaleza y categoría” se detallan los pasivos financieros del Grupo.</w:t>
      </w:r>
    </w:p>
    <w:p w14:paraId="4913B394" w14:textId="77777777" w:rsidR="003D4248" w:rsidRDefault="003D4248" w:rsidP="003D4248">
      <w:pPr>
        <w:spacing w:after="0" w:line="240" w:lineRule="auto"/>
        <w:jc w:val="both"/>
        <w:rPr>
          <w:rFonts w:ascii="Arial" w:hAnsi="Arial" w:cs="Arial"/>
          <w:sz w:val="18"/>
          <w:szCs w:val="18"/>
        </w:rPr>
      </w:pPr>
    </w:p>
    <w:p w14:paraId="13DD0A1D" w14:textId="77777777" w:rsidR="003D4248" w:rsidRDefault="003D4248" w:rsidP="003D4248">
      <w:pPr>
        <w:spacing w:after="0" w:line="240" w:lineRule="auto"/>
        <w:ind w:left="426"/>
        <w:jc w:val="both"/>
        <w:rPr>
          <w:rFonts w:ascii="Arial" w:hAnsi="Arial" w:cs="Arial"/>
          <w:sz w:val="18"/>
          <w:szCs w:val="18"/>
        </w:rPr>
      </w:pPr>
      <w:r>
        <w:rPr>
          <w:rFonts w:ascii="Arial" w:hAnsi="Arial" w:cs="Arial"/>
          <w:sz w:val="18"/>
          <w:szCs w:val="18"/>
        </w:rPr>
        <w:t>El detalle de activos y pasivos fi</w:t>
      </w:r>
      <w:r w:rsidR="002704AA">
        <w:rPr>
          <w:rFonts w:ascii="Arial" w:hAnsi="Arial" w:cs="Arial"/>
          <w:sz w:val="18"/>
          <w:szCs w:val="18"/>
        </w:rPr>
        <w:t>nancieros al 30 de junio de 2018, 31 de diciembre de 2017</w:t>
      </w:r>
      <w:r>
        <w:rPr>
          <w:rFonts w:ascii="Arial" w:hAnsi="Arial" w:cs="Arial"/>
          <w:sz w:val="18"/>
          <w:szCs w:val="18"/>
        </w:rPr>
        <w:t xml:space="preserve"> y 30 de junio de </w:t>
      </w:r>
      <w:r w:rsidR="002704AA">
        <w:rPr>
          <w:rFonts w:ascii="Arial" w:hAnsi="Arial" w:cs="Arial"/>
          <w:sz w:val="18"/>
          <w:szCs w:val="18"/>
        </w:rPr>
        <w:t>2017</w:t>
      </w:r>
      <w:r>
        <w:rPr>
          <w:rFonts w:ascii="Arial" w:hAnsi="Arial" w:cs="Arial"/>
          <w:sz w:val="18"/>
          <w:szCs w:val="18"/>
        </w:rPr>
        <w:t xml:space="preserve"> es el siguiente:</w:t>
      </w:r>
    </w:p>
    <w:p w14:paraId="21D9A9BE" w14:textId="77777777" w:rsidR="003D4248" w:rsidRDefault="003D4248" w:rsidP="00AA3249">
      <w:pPr>
        <w:spacing w:after="0" w:line="240" w:lineRule="auto"/>
        <w:jc w:val="both"/>
        <w:rPr>
          <w:rFonts w:ascii="Arial" w:hAnsi="Arial" w:cs="Arial"/>
          <w:sz w:val="18"/>
          <w:szCs w:val="18"/>
        </w:rPr>
      </w:pPr>
    </w:p>
    <w:p w14:paraId="3651A222" w14:textId="77777777" w:rsidR="003D4248" w:rsidRDefault="003D4248" w:rsidP="003D4248">
      <w:pPr>
        <w:spacing w:after="0" w:line="240" w:lineRule="auto"/>
        <w:ind w:left="426"/>
        <w:jc w:val="both"/>
        <w:rPr>
          <w:rFonts w:ascii="Arial" w:hAnsi="Arial" w:cs="Arial"/>
          <w:sz w:val="18"/>
          <w:szCs w:val="18"/>
        </w:rPr>
      </w:pPr>
    </w:p>
    <w:tbl>
      <w:tblPr>
        <w:tblW w:w="6920" w:type="dxa"/>
        <w:jc w:val="center"/>
        <w:tblLook w:val="04A0" w:firstRow="1" w:lastRow="0" w:firstColumn="1" w:lastColumn="0" w:noHBand="0" w:noVBand="1"/>
      </w:tblPr>
      <w:tblGrid>
        <w:gridCol w:w="3740"/>
        <w:gridCol w:w="1060"/>
        <w:gridCol w:w="1060"/>
        <w:gridCol w:w="1060"/>
      </w:tblGrid>
      <w:tr w:rsidR="003D4248" w:rsidRPr="006505D1" w14:paraId="29AE17A0" w14:textId="77777777" w:rsidTr="007A74E1">
        <w:trPr>
          <w:trHeight w:val="315"/>
          <w:jc w:val="center"/>
        </w:trPr>
        <w:tc>
          <w:tcPr>
            <w:tcW w:w="3740" w:type="dxa"/>
            <w:tcBorders>
              <w:top w:val="nil"/>
              <w:left w:val="nil"/>
              <w:bottom w:val="single" w:sz="8" w:space="0" w:color="CF142B"/>
              <w:right w:val="nil"/>
            </w:tcBorders>
            <w:shd w:val="clear" w:color="auto" w:fill="auto"/>
            <w:vAlign w:val="center"/>
            <w:hideMark/>
          </w:tcPr>
          <w:p w14:paraId="74C5D075" w14:textId="77777777" w:rsidR="003D4248" w:rsidRPr="006505D1" w:rsidRDefault="003D4248" w:rsidP="007A74E1">
            <w:pPr>
              <w:spacing w:after="0" w:line="240" w:lineRule="auto"/>
              <w:jc w:val="both"/>
              <w:rPr>
                <w:rFonts w:ascii="Arial" w:eastAsia="Times New Roman" w:hAnsi="Arial" w:cs="Arial"/>
                <w:color w:val="000000"/>
                <w:sz w:val="18"/>
                <w:szCs w:val="18"/>
                <w:lang w:val="es-ES_tradnl" w:eastAsia="en-GB"/>
              </w:rPr>
            </w:pPr>
            <w:r w:rsidRPr="006505D1">
              <w:rPr>
                <w:rFonts w:ascii="Arial" w:eastAsia="Times New Roman" w:hAnsi="Arial" w:cs="Arial"/>
                <w:color w:val="000000"/>
                <w:sz w:val="18"/>
                <w:szCs w:val="18"/>
                <w:lang w:val="es-ES_tradnl" w:eastAsia="en-GB"/>
              </w:rPr>
              <w:t> Deuda Neta</w:t>
            </w:r>
            <w:r w:rsidRPr="006505D1">
              <w:rPr>
                <w:rFonts w:ascii="Arial" w:eastAsia="Times New Roman" w:hAnsi="Arial" w:cs="Arial"/>
                <w:i/>
                <w:iCs/>
                <w:color w:val="000000"/>
                <w:sz w:val="18"/>
                <w:szCs w:val="18"/>
                <w:lang w:val="es-ES_tradnl" w:eastAsia="en-GB"/>
              </w:rPr>
              <w:t xml:space="preserve"> (en € miles)</w:t>
            </w:r>
          </w:p>
        </w:tc>
        <w:tc>
          <w:tcPr>
            <w:tcW w:w="1060" w:type="dxa"/>
            <w:tcBorders>
              <w:top w:val="nil"/>
              <w:left w:val="nil"/>
              <w:bottom w:val="single" w:sz="8" w:space="0" w:color="CF142B"/>
              <w:right w:val="nil"/>
            </w:tcBorders>
            <w:shd w:val="clear" w:color="auto" w:fill="auto"/>
            <w:vAlign w:val="center"/>
            <w:hideMark/>
          </w:tcPr>
          <w:p w14:paraId="63DB1E19" w14:textId="77777777" w:rsidR="003D4248" w:rsidRPr="006505D1" w:rsidRDefault="00082669" w:rsidP="007A74E1">
            <w:pPr>
              <w:spacing w:after="0" w:line="240" w:lineRule="auto"/>
              <w:jc w:val="center"/>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30-06-18</w:t>
            </w:r>
          </w:p>
        </w:tc>
        <w:tc>
          <w:tcPr>
            <w:tcW w:w="1060" w:type="dxa"/>
            <w:tcBorders>
              <w:top w:val="nil"/>
              <w:left w:val="nil"/>
              <w:bottom w:val="single" w:sz="8" w:space="0" w:color="CF142B"/>
              <w:right w:val="nil"/>
            </w:tcBorders>
            <w:shd w:val="clear" w:color="auto" w:fill="auto"/>
            <w:vAlign w:val="center"/>
            <w:hideMark/>
          </w:tcPr>
          <w:p w14:paraId="681EA030" w14:textId="77777777" w:rsidR="003D4248" w:rsidRPr="006505D1" w:rsidRDefault="00AA3249" w:rsidP="007A74E1">
            <w:pPr>
              <w:spacing w:after="0" w:line="240" w:lineRule="auto"/>
              <w:jc w:val="center"/>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31-12-17</w:t>
            </w:r>
          </w:p>
        </w:tc>
        <w:tc>
          <w:tcPr>
            <w:tcW w:w="1060" w:type="dxa"/>
            <w:tcBorders>
              <w:top w:val="nil"/>
              <w:left w:val="nil"/>
              <w:bottom w:val="single" w:sz="8" w:space="0" w:color="CF142B"/>
              <w:right w:val="nil"/>
            </w:tcBorders>
            <w:shd w:val="clear" w:color="auto" w:fill="auto"/>
            <w:vAlign w:val="center"/>
            <w:hideMark/>
          </w:tcPr>
          <w:p w14:paraId="79F43BFB" w14:textId="77777777" w:rsidR="003D4248" w:rsidRPr="006505D1" w:rsidRDefault="00AA3249" w:rsidP="007A74E1">
            <w:pPr>
              <w:spacing w:after="0" w:line="240" w:lineRule="auto"/>
              <w:jc w:val="center"/>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30-06-17</w:t>
            </w:r>
          </w:p>
        </w:tc>
      </w:tr>
      <w:tr w:rsidR="003D4248" w:rsidRPr="006505D1" w14:paraId="456C2BFE" w14:textId="77777777" w:rsidTr="007A74E1">
        <w:trPr>
          <w:trHeight w:val="300"/>
          <w:jc w:val="center"/>
        </w:trPr>
        <w:tc>
          <w:tcPr>
            <w:tcW w:w="3740" w:type="dxa"/>
            <w:tcBorders>
              <w:top w:val="nil"/>
              <w:left w:val="nil"/>
              <w:bottom w:val="nil"/>
              <w:right w:val="nil"/>
            </w:tcBorders>
            <w:shd w:val="clear" w:color="000000" w:fill="F2F2F2"/>
            <w:vAlign w:val="center"/>
            <w:hideMark/>
          </w:tcPr>
          <w:p w14:paraId="16CD3051" w14:textId="77777777" w:rsidR="003D4248" w:rsidRPr="006505D1" w:rsidRDefault="003D4248" w:rsidP="007A74E1">
            <w:pPr>
              <w:spacing w:after="0" w:line="240" w:lineRule="auto"/>
              <w:jc w:val="both"/>
              <w:rPr>
                <w:rFonts w:ascii="Arial" w:eastAsia="Times New Roman" w:hAnsi="Arial" w:cs="Arial"/>
                <w:b/>
                <w:bCs/>
                <w:color w:val="000000"/>
                <w:sz w:val="18"/>
                <w:szCs w:val="18"/>
                <w:lang w:val="es-ES_tradnl" w:eastAsia="en-GB"/>
              </w:rPr>
            </w:pPr>
            <w:r w:rsidRPr="006505D1">
              <w:rPr>
                <w:rFonts w:ascii="Arial" w:eastAsia="Times New Roman" w:hAnsi="Arial" w:cs="Arial"/>
                <w:b/>
                <w:bCs/>
                <w:color w:val="000000"/>
                <w:sz w:val="18"/>
                <w:szCs w:val="18"/>
                <w:lang w:val="es-ES_tradnl" w:eastAsia="en-GB"/>
              </w:rPr>
              <w:t>Caja y equivalentes</w:t>
            </w:r>
          </w:p>
        </w:tc>
        <w:tc>
          <w:tcPr>
            <w:tcW w:w="1060" w:type="dxa"/>
            <w:tcBorders>
              <w:top w:val="nil"/>
              <w:left w:val="nil"/>
              <w:bottom w:val="nil"/>
              <w:right w:val="nil"/>
            </w:tcBorders>
            <w:shd w:val="clear" w:color="000000" w:fill="F2F2F2"/>
            <w:vAlign w:val="center"/>
            <w:hideMark/>
          </w:tcPr>
          <w:p w14:paraId="58C34913" w14:textId="77777777" w:rsidR="003D4248" w:rsidRPr="006505D1"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28.586</w:t>
            </w:r>
          </w:p>
        </w:tc>
        <w:tc>
          <w:tcPr>
            <w:tcW w:w="1060" w:type="dxa"/>
            <w:tcBorders>
              <w:top w:val="nil"/>
              <w:left w:val="nil"/>
              <w:bottom w:val="nil"/>
              <w:right w:val="nil"/>
            </w:tcBorders>
            <w:shd w:val="clear" w:color="000000" w:fill="F2F2F2"/>
            <w:vAlign w:val="center"/>
            <w:hideMark/>
          </w:tcPr>
          <w:p w14:paraId="56D739D7" w14:textId="77777777" w:rsidR="003D4248" w:rsidRPr="006505D1"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25.285</w:t>
            </w:r>
          </w:p>
        </w:tc>
        <w:tc>
          <w:tcPr>
            <w:tcW w:w="1060" w:type="dxa"/>
            <w:tcBorders>
              <w:top w:val="nil"/>
              <w:left w:val="nil"/>
              <w:bottom w:val="nil"/>
              <w:right w:val="nil"/>
            </w:tcBorders>
            <w:shd w:val="clear" w:color="000000" w:fill="F2F2F2"/>
            <w:vAlign w:val="center"/>
            <w:hideMark/>
          </w:tcPr>
          <w:p w14:paraId="19D2C214" w14:textId="77777777" w:rsidR="003D4248" w:rsidRPr="006505D1" w:rsidRDefault="002704AA"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19.800</w:t>
            </w:r>
          </w:p>
        </w:tc>
      </w:tr>
      <w:tr w:rsidR="003D4248" w:rsidRPr="006505D1" w14:paraId="66880B94" w14:textId="77777777" w:rsidTr="007A74E1">
        <w:trPr>
          <w:trHeight w:val="300"/>
          <w:jc w:val="center"/>
        </w:trPr>
        <w:tc>
          <w:tcPr>
            <w:tcW w:w="3740" w:type="dxa"/>
            <w:tcBorders>
              <w:top w:val="nil"/>
              <w:left w:val="nil"/>
              <w:bottom w:val="nil"/>
              <w:right w:val="nil"/>
            </w:tcBorders>
            <w:shd w:val="clear" w:color="auto" w:fill="auto"/>
            <w:vAlign w:val="center"/>
            <w:hideMark/>
          </w:tcPr>
          <w:p w14:paraId="61E087FD" w14:textId="77777777" w:rsidR="003D4248" w:rsidRPr="006505D1" w:rsidRDefault="003D4248" w:rsidP="007A74E1">
            <w:pPr>
              <w:spacing w:after="0" w:line="240" w:lineRule="auto"/>
              <w:jc w:val="both"/>
              <w:rPr>
                <w:rFonts w:ascii="Arial" w:eastAsia="Times New Roman" w:hAnsi="Arial" w:cs="Arial"/>
                <w:b/>
                <w:bCs/>
                <w:color w:val="000000"/>
                <w:sz w:val="18"/>
                <w:szCs w:val="18"/>
                <w:lang w:val="es-ES_tradnl" w:eastAsia="en-GB"/>
              </w:rPr>
            </w:pPr>
            <w:r w:rsidRPr="006505D1">
              <w:rPr>
                <w:rFonts w:ascii="Arial" w:eastAsia="Times New Roman" w:hAnsi="Arial" w:cs="Arial"/>
                <w:b/>
                <w:bCs/>
                <w:color w:val="000000"/>
                <w:sz w:val="18"/>
                <w:szCs w:val="18"/>
                <w:lang w:val="es-ES_tradnl" w:eastAsia="en-GB"/>
              </w:rPr>
              <w:t>Deuda Bruta</w:t>
            </w:r>
          </w:p>
        </w:tc>
        <w:tc>
          <w:tcPr>
            <w:tcW w:w="1060" w:type="dxa"/>
            <w:tcBorders>
              <w:top w:val="nil"/>
              <w:left w:val="nil"/>
              <w:bottom w:val="nil"/>
              <w:right w:val="nil"/>
            </w:tcBorders>
            <w:shd w:val="clear" w:color="auto" w:fill="auto"/>
            <w:vAlign w:val="center"/>
            <w:hideMark/>
          </w:tcPr>
          <w:p w14:paraId="7DCDD125" w14:textId="77777777" w:rsidR="003D4248" w:rsidRPr="006505D1"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218.383</w:t>
            </w:r>
          </w:p>
        </w:tc>
        <w:tc>
          <w:tcPr>
            <w:tcW w:w="1060" w:type="dxa"/>
            <w:tcBorders>
              <w:top w:val="nil"/>
              <w:left w:val="nil"/>
              <w:bottom w:val="nil"/>
              <w:right w:val="nil"/>
            </w:tcBorders>
            <w:shd w:val="clear" w:color="auto" w:fill="auto"/>
            <w:vAlign w:val="center"/>
            <w:hideMark/>
          </w:tcPr>
          <w:p w14:paraId="5BDD6948" w14:textId="77777777" w:rsidR="003D4248" w:rsidRPr="006505D1"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216.946</w:t>
            </w:r>
          </w:p>
        </w:tc>
        <w:tc>
          <w:tcPr>
            <w:tcW w:w="1060" w:type="dxa"/>
            <w:tcBorders>
              <w:top w:val="nil"/>
              <w:left w:val="nil"/>
              <w:bottom w:val="nil"/>
              <w:right w:val="nil"/>
            </w:tcBorders>
            <w:shd w:val="clear" w:color="auto" w:fill="auto"/>
            <w:vAlign w:val="center"/>
            <w:hideMark/>
          </w:tcPr>
          <w:p w14:paraId="581CDE46" w14:textId="77777777" w:rsidR="003D4248" w:rsidRPr="006505D1" w:rsidRDefault="00AA324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204.642</w:t>
            </w:r>
          </w:p>
        </w:tc>
      </w:tr>
      <w:tr w:rsidR="003D4248" w:rsidRPr="006505D1" w14:paraId="55720503" w14:textId="77777777" w:rsidTr="007A74E1">
        <w:trPr>
          <w:trHeight w:val="300"/>
          <w:jc w:val="center"/>
        </w:trPr>
        <w:tc>
          <w:tcPr>
            <w:tcW w:w="3740" w:type="dxa"/>
            <w:tcBorders>
              <w:top w:val="nil"/>
              <w:left w:val="nil"/>
              <w:bottom w:val="nil"/>
              <w:right w:val="nil"/>
            </w:tcBorders>
            <w:shd w:val="clear" w:color="000000" w:fill="F2F2F2"/>
            <w:vAlign w:val="center"/>
            <w:hideMark/>
          </w:tcPr>
          <w:p w14:paraId="0C31190A" w14:textId="77777777" w:rsidR="003D4248" w:rsidRPr="006505D1" w:rsidRDefault="003D4248" w:rsidP="007A74E1">
            <w:pPr>
              <w:spacing w:after="0" w:line="240" w:lineRule="auto"/>
              <w:jc w:val="both"/>
              <w:rPr>
                <w:rFonts w:ascii="Arial" w:eastAsia="Times New Roman" w:hAnsi="Arial" w:cs="Arial"/>
                <w:b/>
                <w:bCs/>
                <w:color w:val="000000"/>
                <w:sz w:val="18"/>
                <w:szCs w:val="18"/>
                <w:lang w:val="es-ES_tradnl" w:eastAsia="en-GB"/>
              </w:rPr>
            </w:pPr>
            <w:r w:rsidRPr="006505D1">
              <w:rPr>
                <w:rFonts w:ascii="Arial" w:eastAsia="Times New Roman" w:hAnsi="Arial" w:cs="Arial"/>
                <w:b/>
                <w:bCs/>
                <w:color w:val="000000"/>
                <w:sz w:val="18"/>
                <w:szCs w:val="18"/>
                <w:lang w:val="es-ES_tradnl" w:eastAsia="en-GB"/>
              </w:rPr>
              <w:t>Deuda Neta Total</w:t>
            </w:r>
          </w:p>
        </w:tc>
        <w:tc>
          <w:tcPr>
            <w:tcW w:w="1060" w:type="dxa"/>
            <w:tcBorders>
              <w:top w:val="nil"/>
              <w:left w:val="nil"/>
              <w:bottom w:val="nil"/>
              <w:right w:val="nil"/>
            </w:tcBorders>
            <w:shd w:val="clear" w:color="000000" w:fill="F2F2F2"/>
            <w:vAlign w:val="center"/>
            <w:hideMark/>
          </w:tcPr>
          <w:p w14:paraId="529A5A2A" w14:textId="77777777" w:rsidR="003D4248" w:rsidRPr="006505D1"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189.797</w:t>
            </w:r>
          </w:p>
        </w:tc>
        <w:tc>
          <w:tcPr>
            <w:tcW w:w="1060" w:type="dxa"/>
            <w:tcBorders>
              <w:top w:val="nil"/>
              <w:left w:val="nil"/>
              <w:bottom w:val="nil"/>
              <w:right w:val="nil"/>
            </w:tcBorders>
            <w:shd w:val="clear" w:color="000000" w:fill="F2F2F2"/>
            <w:vAlign w:val="center"/>
            <w:hideMark/>
          </w:tcPr>
          <w:p w14:paraId="0681ECAE" w14:textId="77777777" w:rsidR="003D4248" w:rsidRPr="006505D1"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191.661</w:t>
            </w:r>
          </w:p>
        </w:tc>
        <w:tc>
          <w:tcPr>
            <w:tcW w:w="1060" w:type="dxa"/>
            <w:tcBorders>
              <w:top w:val="nil"/>
              <w:left w:val="nil"/>
              <w:bottom w:val="nil"/>
              <w:right w:val="nil"/>
            </w:tcBorders>
            <w:shd w:val="clear" w:color="000000" w:fill="F2F2F2"/>
            <w:vAlign w:val="center"/>
            <w:hideMark/>
          </w:tcPr>
          <w:p w14:paraId="41618682" w14:textId="77777777" w:rsidR="003D4248" w:rsidRPr="006505D1" w:rsidRDefault="00AA324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184.842</w:t>
            </w:r>
          </w:p>
        </w:tc>
      </w:tr>
      <w:tr w:rsidR="003D4248" w:rsidRPr="006505D1" w14:paraId="731A134F" w14:textId="77777777" w:rsidTr="007A74E1">
        <w:trPr>
          <w:trHeight w:val="300"/>
          <w:jc w:val="center"/>
        </w:trPr>
        <w:tc>
          <w:tcPr>
            <w:tcW w:w="3740" w:type="dxa"/>
            <w:tcBorders>
              <w:top w:val="nil"/>
              <w:left w:val="nil"/>
              <w:bottom w:val="nil"/>
              <w:right w:val="nil"/>
            </w:tcBorders>
            <w:shd w:val="clear" w:color="auto" w:fill="auto"/>
            <w:vAlign w:val="center"/>
            <w:hideMark/>
          </w:tcPr>
          <w:p w14:paraId="1237317D" w14:textId="77777777" w:rsidR="003D4248" w:rsidRPr="006505D1" w:rsidRDefault="003D4248" w:rsidP="007A74E1">
            <w:pPr>
              <w:spacing w:after="0" w:line="240" w:lineRule="auto"/>
              <w:jc w:val="both"/>
              <w:rPr>
                <w:rFonts w:ascii="Arial" w:eastAsia="Times New Roman" w:hAnsi="Arial" w:cs="Arial"/>
                <w:color w:val="000000"/>
                <w:sz w:val="18"/>
                <w:szCs w:val="18"/>
                <w:lang w:val="es-ES_tradnl" w:eastAsia="en-GB"/>
              </w:rPr>
            </w:pPr>
            <w:proofErr w:type="spellStart"/>
            <w:r w:rsidRPr="006505D1">
              <w:rPr>
                <w:rFonts w:ascii="Arial" w:eastAsia="Times New Roman" w:hAnsi="Arial" w:cs="Arial"/>
                <w:color w:val="000000"/>
                <w:sz w:val="18"/>
                <w:szCs w:val="18"/>
                <w:lang w:val="es-ES_tradnl" w:eastAsia="en-GB"/>
              </w:rPr>
              <w:t>Factoring</w:t>
            </w:r>
            <w:proofErr w:type="spellEnd"/>
          </w:p>
        </w:tc>
        <w:tc>
          <w:tcPr>
            <w:tcW w:w="1060" w:type="dxa"/>
            <w:tcBorders>
              <w:top w:val="nil"/>
              <w:left w:val="nil"/>
              <w:bottom w:val="nil"/>
              <w:right w:val="nil"/>
            </w:tcBorders>
            <w:shd w:val="clear" w:color="auto" w:fill="auto"/>
            <w:vAlign w:val="center"/>
            <w:hideMark/>
          </w:tcPr>
          <w:p w14:paraId="6A724360" w14:textId="77777777" w:rsidR="003D4248" w:rsidRPr="006505D1"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43.146</w:t>
            </w:r>
          </w:p>
        </w:tc>
        <w:tc>
          <w:tcPr>
            <w:tcW w:w="1060" w:type="dxa"/>
            <w:tcBorders>
              <w:top w:val="nil"/>
              <w:left w:val="nil"/>
              <w:bottom w:val="nil"/>
              <w:right w:val="nil"/>
            </w:tcBorders>
            <w:shd w:val="clear" w:color="auto" w:fill="auto"/>
            <w:vAlign w:val="center"/>
            <w:hideMark/>
          </w:tcPr>
          <w:p w14:paraId="3C8FB834" w14:textId="77777777" w:rsidR="003D4248" w:rsidRPr="006505D1" w:rsidRDefault="008F1C85"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43.040</w:t>
            </w:r>
          </w:p>
        </w:tc>
        <w:tc>
          <w:tcPr>
            <w:tcW w:w="1060" w:type="dxa"/>
            <w:tcBorders>
              <w:top w:val="nil"/>
              <w:left w:val="nil"/>
              <w:bottom w:val="nil"/>
              <w:right w:val="nil"/>
            </w:tcBorders>
            <w:shd w:val="clear" w:color="auto" w:fill="auto"/>
            <w:vAlign w:val="center"/>
            <w:hideMark/>
          </w:tcPr>
          <w:p w14:paraId="709A862B" w14:textId="77777777" w:rsidR="003D4248" w:rsidRPr="006505D1"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47.5</w:t>
            </w:r>
            <w:r w:rsidR="00AA3249">
              <w:rPr>
                <w:rFonts w:ascii="Arial" w:eastAsia="Times New Roman" w:hAnsi="Arial" w:cs="Arial"/>
                <w:color w:val="000000"/>
                <w:sz w:val="18"/>
                <w:szCs w:val="18"/>
                <w:lang w:val="es-ES_tradnl" w:eastAsia="en-GB"/>
              </w:rPr>
              <w:t>52</w:t>
            </w:r>
          </w:p>
        </w:tc>
      </w:tr>
      <w:tr w:rsidR="003D4248" w:rsidRPr="006505D1" w14:paraId="18F0C9FE" w14:textId="77777777" w:rsidTr="007A74E1">
        <w:trPr>
          <w:trHeight w:val="315"/>
          <w:jc w:val="center"/>
        </w:trPr>
        <w:tc>
          <w:tcPr>
            <w:tcW w:w="3740" w:type="dxa"/>
            <w:tcBorders>
              <w:top w:val="nil"/>
              <w:left w:val="nil"/>
              <w:bottom w:val="single" w:sz="8" w:space="0" w:color="CF142B"/>
              <w:right w:val="nil"/>
            </w:tcBorders>
            <w:shd w:val="clear" w:color="000000" w:fill="F2F2F2"/>
            <w:vAlign w:val="center"/>
            <w:hideMark/>
          </w:tcPr>
          <w:p w14:paraId="4A63A8EC" w14:textId="77777777" w:rsidR="003D4248" w:rsidRPr="006505D1" w:rsidRDefault="003D4248" w:rsidP="007A74E1">
            <w:pPr>
              <w:spacing w:after="0" w:line="240" w:lineRule="auto"/>
              <w:jc w:val="both"/>
              <w:rPr>
                <w:rFonts w:ascii="Arial" w:eastAsia="Times New Roman" w:hAnsi="Arial" w:cs="Arial"/>
                <w:b/>
                <w:bCs/>
                <w:color w:val="000000"/>
                <w:sz w:val="18"/>
                <w:szCs w:val="18"/>
                <w:lang w:val="es-ES_tradnl" w:eastAsia="en-GB"/>
              </w:rPr>
            </w:pPr>
            <w:r w:rsidRPr="006505D1">
              <w:rPr>
                <w:rFonts w:ascii="Arial" w:eastAsia="Times New Roman" w:hAnsi="Arial" w:cs="Arial"/>
                <w:b/>
                <w:bCs/>
                <w:color w:val="000000"/>
                <w:sz w:val="18"/>
                <w:szCs w:val="18"/>
                <w:lang w:val="es-ES_tradnl" w:eastAsia="en-GB"/>
              </w:rPr>
              <w:t>Deuda Financiera Neta</w:t>
            </w:r>
          </w:p>
        </w:tc>
        <w:tc>
          <w:tcPr>
            <w:tcW w:w="1060" w:type="dxa"/>
            <w:tcBorders>
              <w:top w:val="nil"/>
              <w:left w:val="nil"/>
              <w:bottom w:val="single" w:sz="8" w:space="0" w:color="CF142B"/>
              <w:right w:val="nil"/>
            </w:tcBorders>
            <w:shd w:val="clear" w:color="000000" w:fill="F2F2F2"/>
            <w:vAlign w:val="center"/>
            <w:hideMark/>
          </w:tcPr>
          <w:p w14:paraId="6C543CE0" w14:textId="77777777" w:rsidR="003D4248" w:rsidRPr="006505D1"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146.651</w:t>
            </w:r>
          </w:p>
        </w:tc>
        <w:tc>
          <w:tcPr>
            <w:tcW w:w="1060" w:type="dxa"/>
            <w:tcBorders>
              <w:top w:val="nil"/>
              <w:left w:val="nil"/>
              <w:bottom w:val="single" w:sz="8" w:space="0" w:color="CF142B"/>
              <w:right w:val="nil"/>
            </w:tcBorders>
            <w:shd w:val="clear" w:color="000000" w:fill="F2F2F2"/>
            <w:vAlign w:val="center"/>
            <w:hideMark/>
          </w:tcPr>
          <w:p w14:paraId="76B040BA" w14:textId="77777777" w:rsidR="003D4248" w:rsidRPr="006505D1" w:rsidRDefault="008F1C85"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148.621</w:t>
            </w:r>
          </w:p>
        </w:tc>
        <w:tc>
          <w:tcPr>
            <w:tcW w:w="1060" w:type="dxa"/>
            <w:tcBorders>
              <w:top w:val="nil"/>
              <w:left w:val="nil"/>
              <w:bottom w:val="single" w:sz="8" w:space="0" w:color="CF142B"/>
              <w:right w:val="nil"/>
            </w:tcBorders>
            <w:shd w:val="clear" w:color="000000" w:fill="F2F2F2"/>
            <w:vAlign w:val="center"/>
            <w:hideMark/>
          </w:tcPr>
          <w:p w14:paraId="62B01A60" w14:textId="77777777" w:rsidR="003D4248" w:rsidRPr="006505D1" w:rsidRDefault="00AA324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137.290</w:t>
            </w:r>
          </w:p>
        </w:tc>
      </w:tr>
    </w:tbl>
    <w:p w14:paraId="6881C513" w14:textId="77777777" w:rsidR="009B3D24" w:rsidRDefault="009B3D24" w:rsidP="0042048D">
      <w:pPr>
        <w:spacing w:after="0" w:line="240" w:lineRule="auto"/>
        <w:jc w:val="both"/>
        <w:rPr>
          <w:rFonts w:ascii="Arial" w:hAnsi="Arial" w:cs="Arial"/>
          <w:sz w:val="18"/>
          <w:szCs w:val="18"/>
        </w:rPr>
      </w:pPr>
    </w:p>
    <w:p w14:paraId="557265C2" w14:textId="77777777" w:rsidR="003D4248" w:rsidRDefault="003D4248" w:rsidP="003D4248">
      <w:pPr>
        <w:spacing w:after="0" w:line="240" w:lineRule="auto"/>
        <w:ind w:left="426"/>
        <w:jc w:val="both"/>
        <w:rPr>
          <w:rFonts w:ascii="Arial" w:hAnsi="Arial" w:cs="Arial"/>
          <w:sz w:val="18"/>
          <w:szCs w:val="18"/>
        </w:rPr>
      </w:pPr>
    </w:p>
    <w:p w14:paraId="4818B87D" w14:textId="77777777" w:rsidR="00BD366B" w:rsidRDefault="00BD366B" w:rsidP="003D4248">
      <w:pPr>
        <w:spacing w:after="0" w:line="240" w:lineRule="auto"/>
        <w:ind w:left="426"/>
        <w:jc w:val="both"/>
        <w:rPr>
          <w:rFonts w:ascii="Arial" w:hAnsi="Arial" w:cs="Arial"/>
          <w:sz w:val="18"/>
          <w:szCs w:val="18"/>
        </w:rPr>
      </w:pPr>
    </w:p>
    <w:p w14:paraId="480DCC02" w14:textId="77777777" w:rsidR="00BD366B" w:rsidRDefault="00BD366B" w:rsidP="003D4248">
      <w:pPr>
        <w:spacing w:after="0" w:line="240" w:lineRule="auto"/>
        <w:ind w:left="426"/>
        <w:jc w:val="both"/>
        <w:rPr>
          <w:rFonts w:ascii="Arial" w:hAnsi="Arial" w:cs="Arial"/>
          <w:sz w:val="18"/>
          <w:szCs w:val="18"/>
        </w:rPr>
      </w:pPr>
    </w:p>
    <w:p w14:paraId="5B1AEE08" w14:textId="77777777" w:rsidR="00BD366B" w:rsidRDefault="00BD366B" w:rsidP="003D4248">
      <w:pPr>
        <w:spacing w:after="0" w:line="240" w:lineRule="auto"/>
        <w:ind w:left="426"/>
        <w:jc w:val="both"/>
        <w:rPr>
          <w:rFonts w:ascii="Arial" w:hAnsi="Arial" w:cs="Arial"/>
          <w:sz w:val="18"/>
          <w:szCs w:val="18"/>
        </w:rPr>
      </w:pPr>
    </w:p>
    <w:p w14:paraId="0575B68E" w14:textId="77777777" w:rsidR="00BD366B" w:rsidRDefault="00BD366B" w:rsidP="003D4248">
      <w:pPr>
        <w:spacing w:after="0" w:line="240" w:lineRule="auto"/>
        <w:ind w:left="426"/>
        <w:jc w:val="both"/>
        <w:rPr>
          <w:rFonts w:ascii="Arial" w:hAnsi="Arial" w:cs="Arial"/>
          <w:sz w:val="18"/>
          <w:szCs w:val="18"/>
        </w:rPr>
      </w:pPr>
    </w:p>
    <w:p w14:paraId="7E9B33A6" w14:textId="77777777" w:rsidR="00BD366B" w:rsidRDefault="00BD366B" w:rsidP="003D4248">
      <w:pPr>
        <w:spacing w:after="0" w:line="240" w:lineRule="auto"/>
        <w:ind w:left="426"/>
        <w:jc w:val="both"/>
        <w:rPr>
          <w:rFonts w:ascii="Arial" w:hAnsi="Arial" w:cs="Arial"/>
          <w:sz w:val="18"/>
          <w:szCs w:val="18"/>
        </w:rPr>
      </w:pPr>
    </w:p>
    <w:p w14:paraId="22BB5FEC" w14:textId="77777777" w:rsidR="00BD366B" w:rsidRDefault="00BD366B" w:rsidP="003D4248">
      <w:pPr>
        <w:spacing w:after="0" w:line="240" w:lineRule="auto"/>
        <w:ind w:left="426"/>
        <w:jc w:val="both"/>
        <w:rPr>
          <w:rFonts w:ascii="Arial" w:hAnsi="Arial" w:cs="Arial"/>
          <w:sz w:val="18"/>
          <w:szCs w:val="18"/>
        </w:rPr>
      </w:pPr>
    </w:p>
    <w:p w14:paraId="1A6880BF" w14:textId="77777777" w:rsidR="00BD366B" w:rsidRDefault="00BD366B" w:rsidP="003D4248">
      <w:pPr>
        <w:spacing w:after="0" w:line="240" w:lineRule="auto"/>
        <w:ind w:left="426"/>
        <w:jc w:val="both"/>
        <w:rPr>
          <w:rFonts w:ascii="Arial" w:hAnsi="Arial" w:cs="Arial"/>
          <w:sz w:val="18"/>
          <w:szCs w:val="18"/>
        </w:rPr>
      </w:pPr>
    </w:p>
    <w:p w14:paraId="012DB454" w14:textId="77777777" w:rsidR="00BD366B" w:rsidRDefault="00BD366B" w:rsidP="003D4248">
      <w:pPr>
        <w:spacing w:after="0" w:line="240" w:lineRule="auto"/>
        <w:ind w:left="426"/>
        <w:jc w:val="both"/>
        <w:rPr>
          <w:rFonts w:ascii="Arial" w:hAnsi="Arial" w:cs="Arial"/>
          <w:sz w:val="18"/>
          <w:szCs w:val="18"/>
        </w:rPr>
      </w:pPr>
    </w:p>
    <w:p w14:paraId="20B6A6FC" w14:textId="361FE8AB" w:rsidR="003D4248" w:rsidRDefault="003D4248" w:rsidP="003D4248">
      <w:pPr>
        <w:spacing w:after="0" w:line="240" w:lineRule="auto"/>
        <w:ind w:left="426"/>
        <w:jc w:val="both"/>
        <w:rPr>
          <w:rFonts w:ascii="Arial" w:hAnsi="Arial" w:cs="Arial"/>
          <w:sz w:val="18"/>
          <w:szCs w:val="18"/>
        </w:rPr>
      </w:pPr>
      <w:r>
        <w:rPr>
          <w:rFonts w:ascii="Arial" w:hAnsi="Arial" w:cs="Arial"/>
          <w:sz w:val="18"/>
          <w:szCs w:val="18"/>
        </w:rPr>
        <w:lastRenderedPageBreak/>
        <w:t>En cuanto al capital circulante su evolución ha sido la siguiente:</w:t>
      </w:r>
    </w:p>
    <w:p w14:paraId="1A30CD6B" w14:textId="77777777" w:rsidR="003D4248" w:rsidRDefault="003D4248" w:rsidP="003D4248">
      <w:pPr>
        <w:spacing w:after="0" w:line="240" w:lineRule="auto"/>
        <w:ind w:left="426"/>
        <w:jc w:val="both"/>
        <w:rPr>
          <w:rFonts w:ascii="Arial" w:hAnsi="Arial" w:cs="Arial"/>
          <w:sz w:val="18"/>
          <w:szCs w:val="18"/>
        </w:rPr>
      </w:pPr>
    </w:p>
    <w:tbl>
      <w:tblPr>
        <w:tblW w:w="6920" w:type="dxa"/>
        <w:jc w:val="center"/>
        <w:tblLook w:val="04A0" w:firstRow="1" w:lastRow="0" w:firstColumn="1" w:lastColumn="0" w:noHBand="0" w:noVBand="1"/>
      </w:tblPr>
      <w:tblGrid>
        <w:gridCol w:w="3740"/>
        <w:gridCol w:w="1060"/>
        <w:gridCol w:w="1060"/>
        <w:gridCol w:w="1060"/>
      </w:tblGrid>
      <w:tr w:rsidR="003D4248" w:rsidRPr="00BA68E4" w14:paraId="0A040916" w14:textId="77777777" w:rsidTr="007A74E1">
        <w:trPr>
          <w:trHeight w:val="315"/>
          <w:jc w:val="center"/>
        </w:trPr>
        <w:tc>
          <w:tcPr>
            <w:tcW w:w="3740" w:type="dxa"/>
            <w:tcBorders>
              <w:top w:val="nil"/>
              <w:left w:val="nil"/>
              <w:bottom w:val="single" w:sz="8" w:space="0" w:color="CF142B"/>
              <w:right w:val="nil"/>
            </w:tcBorders>
            <w:shd w:val="clear" w:color="auto" w:fill="auto"/>
            <w:vAlign w:val="center"/>
            <w:hideMark/>
          </w:tcPr>
          <w:p w14:paraId="5D453A5E" w14:textId="77777777" w:rsidR="003D4248" w:rsidRPr="00BA68E4" w:rsidRDefault="003D4248" w:rsidP="007A74E1">
            <w:pPr>
              <w:spacing w:after="0" w:line="240" w:lineRule="auto"/>
              <w:jc w:val="both"/>
              <w:rPr>
                <w:rFonts w:ascii="Arial" w:eastAsia="Times New Roman" w:hAnsi="Arial" w:cs="Arial"/>
                <w:color w:val="000000"/>
                <w:sz w:val="18"/>
                <w:szCs w:val="18"/>
                <w:lang w:val="es-ES_tradnl" w:eastAsia="en-GB"/>
              </w:rPr>
            </w:pPr>
            <w:r w:rsidRPr="00BA68E4">
              <w:rPr>
                <w:rFonts w:ascii="Arial" w:eastAsia="Times New Roman" w:hAnsi="Arial" w:cs="Arial"/>
                <w:color w:val="000000"/>
                <w:sz w:val="18"/>
                <w:szCs w:val="18"/>
                <w:lang w:val="es-ES_tradnl" w:eastAsia="en-GB"/>
              </w:rPr>
              <w:t>Capital Circulante (en € miles)</w:t>
            </w:r>
          </w:p>
        </w:tc>
        <w:tc>
          <w:tcPr>
            <w:tcW w:w="1060" w:type="dxa"/>
            <w:tcBorders>
              <w:top w:val="nil"/>
              <w:left w:val="nil"/>
              <w:bottom w:val="single" w:sz="8" w:space="0" w:color="CF142B"/>
              <w:right w:val="nil"/>
            </w:tcBorders>
            <w:shd w:val="clear" w:color="auto" w:fill="auto"/>
            <w:vAlign w:val="center"/>
            <w:hideMark/>
          </w:tcPr>
          <w:p w14:paraId="43DD0057" w14:textId="77777777" w:rsidR="003D4248" w:rsidRPr="00BA68E4" w:rsidRDefault="00082669" w:rsidP="007A74E1">
            <w:pPr>
              <w:spacing w:after="0" w:line="240" w:lineRule="auto"/>
              <w:jc w:val="center"/>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30-06-18</w:t>
            </w:r>
          </w:p>
        </w:tc>
        <w:tc>
          <w:tcPr>
            <w:tcW w:w="1060" w:type="dxa"/>
            <w:tcBorders>
              <w:top w:val="nil"/>
              <w:left w:val="nil"/>
              <w:bottom w:val="single" w:sz="8" w:space="0" w:color="CF142B"/>
              <w:right w:val="nil"/>
            </w:tcBorders>
            <w:shd w:val="clear" w:color="auto" w:fill="auto"/>
            <w:vAlign w:val="center"/>
            <w:hideMark/>
          </w:tcPr>
          <w:p w14:paraId="1062DB6E" w14:textId="77777777" w:rsidR="003D4248" w:rsidRPr="00BA68E4" w:rsidRDefault="00082669" w:rsidP="007A74E1">
            <w:pPr>
              <w:spacing w:after="0" w:line="240" w:lineRule="auto"/>
              <w:jc w:val="center"/>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31-12-17</w:t>
            </w:r>
          </w:p>
        </w:tc>
        <w:tc>
          <w:tcPr>
            <w:tcW w:w="1060" w:type="dxa"/>
            <w:tcBorders>
              <w:top w:val="nil"/>
              <w:left w:val="nil"/>
              <w:bottom w:val="single" w:sz="8" w:space="0" w:color="CF142B"/>
              <w:right w:val="nil"/>
            </w:tcBorders>
            <w:shd w:val="clear" w:color="auto" w:fill="auto"/>
            <w:vAlign w:val="center"/>
            <w:hideMark/>
          </w:tcPr>
          <w:p w14:paraId="3B88CBED" w14:textId="77777777" w:rsidR="003D4248" w:rsidRPr="00BA68E4" w:rsidRDefault="00082669" w:rsidP="007A74E1">
            <w:pPr>
              <w:spacing w:after="0" w:line="240" w:lineRule="auto"/>
              <w:jc w:val="center"/>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30-06-17</w:t>
            </w:r>
          </w:p>
        </w:tc>
      </w:tr>
      <w:tr w:rsidR="003D4248" w:rsidRPr="00BA68E4" w14:paraId="51AFBD22" w14:textId="77777777" w:rsidTr="007A74E1">
        <w:trPr>
          <w:trHeight w:val="300"/>
          <w:jc w:val="center"/>
        </w:trPr>
        <w:tc>
          <w:tcPr>
            <w:tcW w:w="3740" w:type="dxa"/>
            <w:tcBorders>
              <w:top w:val="nil"/>
              <w:left w:val="nil"/>
              <w:bottom w:val="nil"/>
              <w:right w:val="nil"/>
            </w:tcBorders>
            <w:shd w:val="clear" w:color="auto" w:fill="auto"/>
            <w:vAlign w:val="center"/>
            <w:hideMark/>
          </w:tcPr>
          <w:p w14:paraId="57DD3721" w14:textId="77777777" w:rsidR="003D4248" w:rsidRPr="00BA68E4" w:rsidRDefault="003D4248" w:rsidP="007A74E1">
            <w:pPr>
              <w:spacing w:after="0" w:line="240" w:lineRule="auto"/>
              <w:jc w:val="both"/>
              <w:rPr>
                <w:rFonts w:ascii="Arial" w:eastAsia="Times New Roman" w:hAnsi="Arial" w:cs="Arial"/>
                <w:color w:val="000000"/>
                <w:sz w:val="18"/>
                <w:szCs w:val="18"/>
                <w:lang w:val="es-ES_tradnl" w:eastAsia="en-GB"/>
              </w:rPr>
            </w:pPr>
            <w:r w:rsidRPr="00BA68E4">
              <w:rPr>
                <w:rFonts w:ascii="Arial" w:eastAsia="Times New Roman" w:hAnsi="Arial" w:cs="Arial"/>
                <w:color w:val="000000"/>
                <w:sz w:val="18"/>
                <w:szCs w:val="18"/>
                <w:lang w:val="es-ES_tradnl" w:eastAsia="en-GB"/>
              </w:rPr>
              <w:t>Inventario</w:t>
            </w:r>
          </w:p>
        </w:tc>
        <w:tc>
          <w:tcPr>
            <w:tcW w:w="1060" w:type="dxa"/>
            <w:tcBorders>
              <w:top w:val="nil"/>
              <w:left w:val="nil"/>
              <w:bottom w:val="nil"/>
              <w:right w:val="nil"/>
            </w:tcBorders>
            <w:shd w:val="clear" w:color="auto" w:fill="auto"/>
            <w:vAlign w:val="center"/>
            <w:hideMark/>
          </w:tcPr>
          <w:p w14:paraId="5C98D849" w14:textId="77777777" w:rsidR="003D4248" w:rsidRPr="00BA68E4"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33.230</w:t>
            </w:r>
          </w:p>
        </w:tc>
        <w:tc>
          <w:tcPr>
            <w:tcW w:w="1060" w:type="dxa"/>
            <w:tcBorders>
              <w:top w:val="nil"/>
              <w:left w:val="nil"/>
              <w:bottom w:val="nil"/>
              <w:right w:val="nil"/>
            </w:tcBorders>
            <w:shd w:val="clear" w:color="auto" w:fill="auto"/>
            <w:vAlign w:val="center"/>
            <w:hideMark/>
          </w:tcPr>
          <w:p w14:paraId="6EAE468D" w14:textId="77777777" w:rsidR="003D4248" w:rsidRPr="00BA68E4"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42.678</w:t>
            </w:r>
          </w:p>
        </w:tc>
        <w:tc>
          <w:tcPr>
            <w:tcW w:w="1060" w:type="dxa"/>
            <w:tcBorders>
              <w:top w:val="nil"/>
              <w:left w:val="nil"/>
              <w:bottom w:val="nil"/>
              <w:right w:val="nil"/>
            </w:tcBorders>
            <w:shd w:val="clear" w:color="auto" w:fill="auto"/>
            <w:vAlign w:val="center"/>
            <w:hideMark/>
          </w:tcPr>
          <w:p w14:paraId="2ED58DDA" w14:textId="77777777" w:rsidR="003D4248" w:rsidRPr="00BA68E4"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46.598</w:t>
            </w:r>
          </w:p>
        </w:tc>
      </w:tr>
      <w:tr w:rsidR="003D4248" w:rsidRPr="00BA68E4" w14:paraId="1AF07377" w14:textId="77777777" w:rsidTr="007A74E1">
        <w:trPr>
          <w:trHeight w:val="300"/>
          <w:jc w:val="center"/>
        </w:trPr>
        <w:tc>
          <w:tcPr>
            <w:tcW w:w="3740" w:type="dxa"/>
            <w:tcBorders>
              <w:top w:val="nil"/>
              <w:left w:val="nil"/>
              <w:bottom w:val="nil"/>
              <w:right w:val="nil"/>
            </w:tcBorders>
            <w:shd w:val="clear" w:color="auto" w:fill="auto"/>
            <w:vAlign w:val="center"/>
            <w:hideMark/>
          </w:tcPr>
          <w:p w14:paraId="5DF7B27E" w14:textId="77777777" w:rsidR="003D4248" w:rsidRPr="00BA68E4" w:rsidRDefault="003D4248" w:rsidP="007A74E1">
            <w:pPr>
              <w:spacing w:after="0" w:line="240" w:lineRule="auto"/>
              <w:jc w:val="both"/>
              <w:rPr>
                <w:rFonts w:ascii="Arial" w:eastAsia="Times New Roman" w:hAnsi="Arial" w:cs="Arial"/>
                <w:color w:val="000000"/>
                <w:sz w:val="18"/>
                <w:szCs w:val="18"/>
                <w:lang w:val="es-ES_tradnl" w:eastAsia="en-GB"/>
              </w:rPr>
            </w:pPr>
            <w:r w:rsidRPr="00BA68E4">
              <w:rPr>
                <w:rFonts w:ascii="Arial" w:eastAsia="Times New Roman" w:hAnsi="Arial" w:cs="Arial"/>
                <w:color w:val="000000"/>
                <w:sz w:val="18"/>
                <w:szCs w:val="18"/>
                <w:lang w:val="es-ES_tradnl" w:eastAsia="en-GB"/>
              </w:rPr>
              <w:t>Deudores comerciales</w:t>
            </w:r>
          </w:p>
        </w:tc>
        <w:tc>
          <w:tcPr>
            <w:tcW w:w="1060" w:type="dxa"/>
            <w:tcBorders>
              <w:top w:val="nil"/>
              <w:left w:val="nil"/>
              <w:bottom w:val="nil"/>
              <w:right w:val="nil"/>
            </w:tcBorders>
            <w:shd w:val="clear" w:color="auto" w:fill="auto"/>
            <w:vAlign w:val="center"/>
            <w:hideMark/>
          </w:tcPr>
          <w:p w14:paraId="02877042" w14:textId="77777777" w:rsidR="003D4248" w:rsidRPr="00BA68E4" w:rsidRDefault="00534245"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84.689</w:t>
            </w:r>
          </w:p>
        </w:tc>
        <w:tc>
          <w:tcPr>
            <w:tcW w:w="1060" w:type="dxa"/>
            <w:tcBorders>
              <w:top w:val="nil"/>
              <w:left w:val="nil"/>
              <w:bottom w:val="nil"/>
              <w:right w:val="nil"/>
            </w:tcBorders>
            <w:shd w:val="clear" w:color="auto" w:fill="auto"/>
            <w:vAlign w:val="center"/>
            <w:hideMark/>
          </w:tcPr>
          <w:p w14:paraId="20EA3758" w14:textId="77777777" w:rsidR="003D4248" w:rsidRPr="00BA68E4" w:rsidRDefault="00534245"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95.185</w:t>
            </w:r>
          </w:p>
        </w:tc>
        <w:tc>
          <w:tcPr>
            <w:tcW w:w="1060" w:type="dxa"/>
            <w:tcBorders>
              <w:top w:val="nil"/>
              <w:left w:val="nil"/>
              <w:bottom w:val="nil"/>
              <w:right w:val="nil"/>
            </w:tcBorders>
            <w:shd w:val="clear" w:color="auto" w:fill="auto"/>
            <w:vAlign w:val="center"/>
            <w:hideMark/>
          </w:tcPr>
          <w:p w14:paraId="5459FA9E" w14:textId="77777777" w:rsidR="003D4248" w:rsidRPr="00BA68E4"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93.361</w:t>
            </w:r>
          </w:p>
        </w:tc>
      </w:tr>
      <w:tr w:rsidR="003D4248" w:rsidRPr="00BA68E4" w14:paraId="6FB29778" w14:textId="77777777" w:rsidTr="007A74E1">
        <w:trPr>
          <w:trHeight w:val="300"/>
          <w:jc w:val="center"/>
        </w:trPr>
        <w:tc>
          <w:tcPr>
            <w:tcW w:w="3740" w:type="dxa"/>
            <w:tcBorders>
              <w:top w:val="nil"/>
              <w:left w:val="nil"/>
              <w:bottom w:val="nil"/>
              <w:right w:val="nil"/>
            </w:tcBorders>
            <w:shd w:val="clear" w:color="auto" w:fill="auto"/>
            <w:vAlign w:val="center"/>
            <w:hideMark/>
          </w:tcPr>
          <w:p w14:paraId="158A5D92" w14:textId="77777777" w:rsidR="003D4248" w:rsidRPr="00BA68E4" w:rsidRDefault="003D4248" w:rsidP="007A74E1">
            <w:pPr>
              <w:spacing w:after="0" w:line="240" w:lineRule="auto"/>
              <w:jc w:val="both"/>
              <w:rPr>
                <w:rFonts w:ascii="Arial" w:eastAsia="Times New Roman" w:hAnsi="Arial" w:cs="Arial"/>
                <w:color w:val="000000"/>
                <w:sz w:val="18"/>
                <w:szCs w:val="18"/>
                <w:lang w:val="es-ES_tradnl" w:eastAsia="en-GB"/>
              </w:rPr>
            </w:pPr>
            <w:r w:rsidRPr="00BA68E4">
              <w:rPr>
                <w:rFonts w:ascii="Arial" w:eastAsia="Times New Roman" w:hAnsi="Arial" w:cs="Arial"/>
                <w:color w:val="000000"/>
                <w:sz w:val="18"/>
                <w:szCs w:val="18"/>
                <w:lang w:val="es-ES_tradnl" w:eastAsia="en-GB"/>
              </w:rPr>
              <w:t>Proveedores</w:t>
            </w:r>
          </w:p>
        </w:tc>
        <w:tc>
          <w:tcPr>
            <w:tcW w:w="1060" w:type="dxa"/>
            <w:tcBorders>
              <w:top w:val="nil"/>
              <w:left w:val="nil"/>
              <w:bottom w:val="nil"/>
              <w:right w:val="nil"/>
            </w:tcBorders>
            <w:shd w:val="clear" w:color="auto" w:fill="auto"/>
            <w:vAlign w:val="center"/>
            <w:hideMark/>
          </w:tcPr>
          <w:p w14:paraId="78346C7F" w14:textId="77777777" w:rsidR="003D4248" w:rsidRPr="00BA68E4" w:rsidRDefault="00534245"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60.714</w:t>
            </w:r>
          </w:p>
        </w:tc>
        <w:tc>
          <w:tcPr>
            <w:tcW w:w="1060" w:type="dxa"/>
            <w:tcBorders>
              <w:top w:val="nil"/>
              <w:left w:val="nil"/>
              <w:bottom w:val="nil"/>
              <w:right w:val="nil"/>
            </w:tcBorders>
            <w:shd w:val="clear" w:color="auto" w:fill="auto"/>
            <w:vAlign w:val="center"/>
            <w:hideMark/>
          </w:tcPr>
          <w:p w14:paraId="0E3348C3" w14:textId="77777777" w:rsidR="003D4248" w:rsidRPr="00BA68E4" w:rsidRDefault="00534245"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78.260</w:t>
            </w:r>
          </w:p>
        </w:tc>
        <w:tc>
          <w:tcPr>
            <w:tcW w:w="1060" w:type="dxa"/>
            <w:tcBorders>
              <w:top w:val="nil"/>
              <w:left w:val="nil"/>
              <w:bottom w:val="nil"/>
              <w:right w:val="nil"/>
            </w:tcBorders>
            <w:shd w:val="clear" w:color="auto" w:fill="auto"/>
            <w:vAlign w:val="center"/>
            <w:hideMark/>
          </w:tcPr>
          <w:p w14:paraId="607B27CC" w14:textId="77777777" w:rsidR="003D4248" w:rsidRPr="00BA68E4"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68.225</w:t>
            </w:r>
          </w:p>
        </w:tc>
      </w:tr>
      <w:tr w:rsidR="003D4248" w:rsidRPr="00BA68E4" w14:paraId="36CE4C98" w14:textId="77777777" w:rsidTr="007A74E1">
        <w:trPr>
          <w:trHeight w:val="300"/>
          <w:jc w:val="center"/>
        </w:trPr>
        <w:tc>
          <w:tcPr>
            <w:tcW w:w="3740" w:type="dxa"/>
            <w:tcBorders>
              <w:top w:val="nil"/>
              <w:left w:val="nil"/>
              <w:bottom w:val="nil"/>
              <w:right w:val="nil"/>
            </w:tcBorders>
            <w:shd w:val="clear" w:color="000000" w:fill="F2F2F2"/>
            <w:vAlign w:val="center"/>
            <w:hideMark/>
          </w:tcPr>
          <w:p w14:paraId="3169D90C" w14:textId="77777777" w:rsidR="003D4248" w:rsidRPr="00BA68E4" w:rsidRDefault="003D4248" w:rsidP="007A74E1">
            <w:pPr>
              <w:spacing w:after="0" w:line="240" w:lineRule="auto"/>
              <w:jc w:val="both"/>
              <w:rPr>
                <w:rFonts w:ascii="Arial" w:eastAsia="Times New Roman" w:hAnsi="Arial" w:cs="Arial"/>
                <w:b/>
                <w:bCs/>
                <w:color w:val="000000"/>
                <w:sz w:val="18"/>
                <w:szCs w:val="18"/>
                <w:lang w:val="es-ES_tradnl" w:eastAsia="en-GB"/>
              </w:rPr>
            </w:pPr>
            <w:r w:rsidRPr="00BA68E4">
              <w:rPr>
                <w:rFonts w:ascii="Arial" w:eastAsia="Times New Roman" w:hAnsi="Arial" w:cs="Arial"/>
                <w:b/>
                <w:bCs/>
                <w:color w:val="000000"/>
                <w:sz w:val="18"/>
                <w:szCs w:val="18"/>
                <w:lang w:val="es-ES_tradnl" w:eastAsia="en-GB"/>
              </w:rPr>
              <w:t>Capital Circulante Operativo</w:t>
            </w:r>
          </w:p>
        </w:tc>
        <w:tc>
          <w:tcPr>
            <w:tcW w:w="1060" w:type="dxa"/>
            <w:tcBorders>
              <w:top w:val="nil"/>
              <w:left w:val="nil"/>
              <w:bottom w:val="nil"/>
              <w:right w:val="nil"/>
            </w:tcBorders>
            <w:shd w:val="clear" w:color="000000" w:fill="F2F2F2"/>
            <w:vAlign w:val="center"/>
            <w:hideMark/>
          </w:tcPr>
          <w:p w14:paraId="44B85DFA" w14:textId="77777777" w:rsidR="003D4248" w:rsidRPr="00BA68E4" w:rsidRDefault="00534245"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57.205</w:t>
            </w:r>
          </w:p>
        </w:tc>
        <w:tc>
          <w:tcPr>
            <w:tcW w:w="1060" w:type="dxa"/>
            <w:tcBorders>
              <w:top w:val="nil"/>
              <w:left w:val="nil"/>
              <w:bottom w:val="nil"/>
              <w:right w:val="nil"/>
            </w:tcBorders>
            <w:shd w:val="clear" w:color="000000" w:fill="F2F2F2"/>
            <w:vAlign w:val="center"/>
            <w:hideMark/>
          </w:tcPr>
          <w:p w14:paraId="6FFA17A2" w14:textId="77777777" w:rsidR="003D4248" w:rsidRPr="00BA68E4" w:rsidRDefault="00534245"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59.603</w:t>
            </w:r>
          </w:p>
        </w:tc>
        <w:tc>
          <w:tcPr>
            <w:tcW w:w="1060" w:type="dxa"/>
            <w:tcBorders>
              <w:top w:val="nil"/>
              <w:left w:val="nil"/>
              <w:bottom w:val="nil"/>
              <w:right w:val="nil"/>
            </w:tcBorders>
            <w:shd w:val="clear" w:color="000000" w:fill="F2F2F2"/>
            <w:vAlign w:val="center"/>
            <w:hideMark/>
          </w:tcPr>
          <w:p w14:paraId="68699D8E" w14:textId="77777777" w:rsidR="003D4248" w:rsidRPr="00BA68E4" w:rsidRDefault="00082669" w:rsidP="007A74E1">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b/>
                <w:bCs/>
                <w:color w:val="000000"/>
                <w:sz w:val="18"/>
                <w:szCs w:val="18"/>
                <w:lang w:val="es-ES_tradnl" w:eastAsia="en-GB"/>
              </w:rPr>
              <w:t>71.734</w:t>
            </w:r>
          </w:p>
        </w:tc>
      </w:tr>
      <w:tr w:rsidR="003D4248" w:rsidRPr="00BA68E4" w14:paraId="7A9E7553" w14:textId="77777777" w:rsidTr="007A74E1">
        <w:trPr>
          <w:trHeight w:val="315"/>
          <w:jc w:val="center"/>
        </w:trPr>
        <w:tc>
          <w:tcPr>
            <w:tcW w:w="3740" w:type="dxa"/>
            <w:tcBorders>
              <w:top w:val="nil"/>
              <w:left w:val="nil"/>
              <w:bottom w:val="single" w:sz="8" w:space="0" w:color="CF142B"/>
              <w:right w:val="nil"/>
            </w:tcBorders>
            <w:shd w:val="clear" w:color="auto" w:fill="auto"/>
            <w:vAlign w:val="center"/>
            <w:hideMark/>
          </w:tcPr>
          <w:p w14:paraId="235D2E4D" w14:textId="77777777" w:rsidR="003D4248" w:rsidRPr="00BA68E4" w:rsidRDefault="00082669" w:rsidP="007A74E1">
            <w:pPr>
              <w:spacing w:after="0" w:line="240" w:lineRule="auto"/>
              <w:jc w:val="both"/>
              <w:rPr>
                <w:rFonts w:ascii="Arial" w:eastAsia="Times New Roman" w:hAnsi="Arial" w:cs="Arial"/>
                <w:color w:val="000000"/>
                <w:sz w:val="18"/>
                <w:szCs w:val="18"/>
                <w:lang w:val="es-ES_tradnl" w:eastAsia="en-GB"/>
              </w:rPr>
            </w:pPr>
            <w:proofErr w:type="spellStart"/>
            <w:r>
              <w:rPr>
                <w:rFonts w:ascii="Arial" w:eastAsia="Times New Roman" w:hAnsi="Arial" w:cs="Arial"/>
                <w:color w:val="000000"/>
                <w:sz w:val="18"/>
                <w:szCs w:val="18"/>
                <w:lang w:val="es-ES_tradnl" w:eastAsia="en-GB"/>
              </w:rPr>
              <w:t>Factoring</w:t>
            </w:r>
            <w:proofErr w:type="spellEnd"/>
          </w:p>
        </w:tc>
        <w:tc>
          <w:tcPr>
            <w:tcW w:w="1060" w:type="dxa"/>
            <w:tcBorders>
              <w:top w:val="nil"/>
              <w:left w:val="nil"/>
              <w:bottom w:val="single" w:sz="8" w:space="0" w:color="CF142B"/>
              <w:right w:val="nil"/>
            </w:tcBorders>
            <w:shd w:val="clear" w:color="auto" w:fill="auto"/>
            <w:vAlign w:val="center"/>
            <w:hideMark/>
          </w:tcPr>
          <w:p w14:paraId="48C5F399" w14:textId="77777777" w:rsidR="003D4248" w:rsidRPr="00BA68E4" w:rsidRDefault="00082669" w:rsidP="00082669">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color w:val="000000"/>
                <w:sz w:val="18"/>
                <w:szCs w:val="18"/>
                <w:lang w:val="es-ES_tradnl" w:eastAsia="en-GB"/>
              </w:rPr>
              <w:t>43.146</w:t>
            </w:r>
          </w:p>
        </w:tc>
        <w:tc>
          <w:tcPr>
            <w:tcW w:w="1060" w:type="dxa"/>
            <w:tcBorders>
              <w:top w:val="nil"/>
              <w:left w:val="nil"/>
              <w:bottom w:val="single" w:sz="8" w:space="0" w:color="CF142B"/>
              <w:right w:val="nil"/>
            </w:tcBorders>
            <w:shd w:val="clear" w:color="auto" w:fill="auto"/>
            <w:vAlign w:val="center"/>
            <w:hideMark/>
          </w:tcPr>
          <w:p w14:paraId="6D1F1430" w14:textId="77777777" w:rsidR="003D4248" w:rsidRPr="00BA68E4" w:rsidRDefault="00082669" w:rsidP="00082669">
            <w:pPr>
              <w:spacing w:after="0" w:line="240" w:lineRule="auto"/>
              <w:jc w:val="right"/>
              <w:rPr>
                <w:rFonts w:ascii="Arial" w:eastAsia="Times New Roman" w:hAnsi="Arial" w:cs="Arial"/>
                <w:b/>
                <w:bCs/>
                <w:color w:val="000000"/>
                <w:sz w:val="18"/>
                <w:szCs w:val="18"/>
                <w:lang w:val="es-ES_tradnl" w:eastAsia="en-GB"/>
              </w:rPr>
            </w:pPr>
            <w:r>
              <w:rPr>
                <w:rFonts w:ascii="Arial" w:eastAsia="Times New Roman" w:hAnsi="Arial" w:cs="Arial"/>
                <w:color w:val="000000"/>
                <w:sz w:val="18"/>
                <w:szCs w:val="18"/>
                <w:lang w:val="es-ES_tradnl" w:eastAsia="en-GB"/>
              </w:rPr>
              <w:t>43.040</w:t>
            </w:r>
          </w:p>
        </w:tc>
        <w:tc>
          <w:tcPr>
            <w:tcW w:w="1060" w:type="dxa"/>
            <w:tcBorders>
              <w:top w:val="nil"/>
              <w:left w:val="nil"/>
              <w:bottom w:val="single" w:sz="8" w:space="0" w:color="CF142B"/>
              <w:right w:val="nil"/>
            </w:tcBorders>
            <w:shd w:val="clear" w:color="auto" w:fill="auto"/>
            <w:vAlign w:val="center"/>
            <w:hideMark/>
          </w:tcPr>
          <w:p w14:paraId="5C566CF2" w14:textId="77777777" w:rsidR="003D4248" w:rsidRPr="00BA68E4" w:rsidRDefault="00082669" w:rsidP="007A74E1">
            <w:pPr>
              <w:spacing w:after="0" w:line="240" w:lineRule="auto"/>
              <w:jc w:val="right"/>
              <w:rPr>
                <w:rFonts w:ascii="Arial" w:eastAsia="Times New Roman" w:hAnsi="Arial" w:cs="Arial"/>
                <w:color w:val="000000"/>
                <w:sz w:val="18"/>
                <w:szCs w:val="18"/>
                <w:lang w:val="es-ES_tradnl" w:eastAsia="en-GB"/>
              </w:rPr>
            </w:pPr>
            <w:r>
              <w:rPr>
                <w:rFonts w:ascii="Arial" w:eastAsia="Times New Roman" w:hAnsi="Arial" w:cs="Arial"/>
                <w:color w:val="000000"/>
                <w:sz w:val="18"/>
                <w:szCs w:val="18"/>
                <w:lang w:val="es-ES_tradnl" w:eastAsia="en-GB"/>
              </w:rPr>
              <w:t>47.552</w:t>
            </w:r>
          </w:p>
        </w:tc>
      </w:tr>
    </w:tbl>
    <w:p w14:paraId="2C07E332" w14:textId="77777777" w:rsidR="00FA6C05" w:rsidRDefault="00FA6C05" w:rsidP="000021A5">
      <w:pPr>
        <w:jc w:val="both"/>
        <w:rPr>
          <w:rFonts w:ascii="Arial" w:hAnsi="Arial" w:cs="Arial"/>
          <w:sz w:val="18"/>
          <w:szCs w:val="18"/>
        </w:rPr>
      </w:pPr>
    </w:p>
    <w:p w14:paraId="45A3BA53" w14:textId="77777777" w:rsidR="009B3D24" w:rsidRDefault="00AA0B92" w:rsidP="00AA0B92">
      <w:pPr>
        <w:spacing w:after="0" w:line="240" w:lineRule="auto"/>
        <w:ind w:left="426"/>
        <w:jc w:val="both"/>
        <w:rPr>
          <w:rFonts w:ascii="Arial" w:hAnsi="Arial" w:cs="Arial"/>
          <w:sz w:val="18"/>
          <w:szCs w:val="18"/>
        </w:rPr>
      </w:pPr>
      <w:r>
        <w:rPr>
          <w:rFonts w:ascii="Arial" w:hAnsi="Arial" w:cs="Arial"/>
          <w:sz w:val="18"/>
          <w:szCs w:val="18"/>
        </w:rPr>
        <w:t>Indicar que en mayo de 2018</w:t>
      </w:r>
      <w:r w:rsidR="00517746">
        <w:rPr>
          <w:rFonts w:ascii="Arial" w:hAnsi="Arial" w:cs="Arial"/>
          <w:sz w:val="18"/>
          <w:szCs w:val="18"/>
        </w:rPr>
        <w:t>, en relación al proceso de refinanciación de la deuda en el que la compañía se encontraba</w:t>
      </w:r>
      <w:r w:rsidR="001D4355">
        <w:rPr>
          <w:rFonts w:ascii="Arial" w:hAnsi="Arial" w:cs="Arial"/>
          <w:sz w:val="18"/>
          <w:szCs w:val="18"/>
        </w:rPr>
        <w:t xml:space="preserve">, se le ha solicitado a las entidades financieras del sindicato bancario aplazamiento de pago de </w:t>
      </w:r>
      <w:r w:rsidR="00517746">
        <w:rPr>
          <w:rFonts w:ascii="Arial" w:hAnsi="Arial" w:cs="Arial"/>
          <w:sz w:val="18"/>
          <w:szCs w:val="18"/>
        </w:rPr>
        <w:t xml:space="preserve">una </w:t>
      </w:r>
      <w:r w:rsidR="001D4355">
        <w:rPr>
          <w:rFonts w:ascii="Arial" w:hAnsi="Arial" w:cs="Arial"/>
          <w:sz w:val="18"/>
          <w:szCs w:val="18"/>
        </w:rPr>
        <w:t>parte del importe de las comisiones tanto del Tramo A, como de los Tramos B1 y B2 previstas en las Cartas de Comisiones suscritas el pasado 28 de julio de 2017, hasta la primera de las siguientes fechas: (i) la fecha en la que se produzca el desembolso de una nueva línea de financiación o (ii) el 31 de diciembre de 2018.</w:t>
      </w:r>
    </w:p>
    <w:p w14:paraId="352FCEBB" w14:textId="77777777" w:rsidR="001D4355" w:rsidRDefault="001D4355" w:rsidP="00AA0B92">
      <w:pPr>
        <w:spacing w:after="0" w:line="240" w:lineRule="auto"/>
        <w:ind w:left="426"/>
        <w:jc w:val="both"/>
        <w:rPr>
          <w:rFonts w:ascii="Arial" w:hAnsi="Arial" w:cs="Arial"/>
          <w:sz w:val="18"/>
          <w:szCs w:val="18"/>
        </w:rPr>
      </w:pPr>
    </w:p>
    <w:p w14:paraId="061AA7D7" w14:textId="77777777" w:rsidR="001D4355" w:rsidRDefault="001D4355" w:rsidP="00AA0B92">
      <w:pPr>
        <w:spacing w:after="0" w:line="240" w:lineRule="auto"/>
        <w:ind w:left="426"/>
        <w:jc w:val="both"/>
        <w:rPr>
          <w:rFonts w:ascii="Arial" w:hAnsi="Arial" w:cs="Arial"/>
          <w:sz w:val="18"/>
          <w:szCs w:val="18"/>
        </w:rPr>
      </w:pPr>
      <w:r>
        <w:rPr>
          <w:rFonts w:ascii="Arial" w:hAnsi="Arial" w:cs="Arial"/>
          <w:sz w:val="18"/>
          <w:szCs w:val="18"/>
        </w:rPr>
        <w:t xml:space="preserve">El importe de dichas comisiones que asciende a 479 miles de euros </w:t>
      </w:r>
      <w:r w:rsidR="00A068D7">
        <w:rPr>
          <w:rFonts w:ascii="Arial" w:hAnsi="Arial" w:cs="Arial"/>
          <w:sz w:val="18"/>
          <w:szCs w:val="18"/>
        </w:rPr>
        <w:t>han sido desembolsados con fecha 17 de agosto de 2018 una vez se ha dispuesto del préstamo de 20 millones de euros indicado en la nota 10 Hechos posteriores al cierre.</w:t>
      </w:r>
    </w:p>
    <w:p w14:paraId="47A596A8" w14:textId="516BA393" w:rsidR="00DD6197" w:rsidRDefault="00DD6197" w:rsidP="000021A5">
      <w:pPr>
        <w:jc w:val="both"/>
        <w:rPr>
          <w:rFonts w:ascii="Arial" w:hAnsi="Arial" w:cs="Arial"/>
          <w:sz w:val="18"/>
          <w:szCs w:val="18"/>
        </w:rPr>
      </w:pPr>
    </w:p>
    <w:p w14:paraId="296F2CED" w14:textId="291B3BF8" w:rsidR="00BD366B" w:rsidRDefault="00BD366B" w:rsidP="000021A5">
      <w:pPr>
        <w:jc w:val="both"/>
        <w:rPr>
          <w:rFonts w:ascii="Arial" w:hAnsi="Arial" w:cs="Arial"/>
          <w:sz w:val="18"/>
          <w:szCs w:val="18"/>
        </w:rPr>
      </w:pPr>
    </w:p>
    <w:p w14:paraId="14D85198" w14:textId="49BEE60C" w:rsidR="00BD366B" w:rsidRDefault="00BD366B" w:rsidP="000021A5">
      <w:pPr>
        <w:jc w:val="both"/>
        <w:rPr>
          <w:rFonts w:ascii="Arial" w:hAnsi="Arial" w:cs="Arial"/>
          <w:sz w:val="18"/>
          <w:szCs w:val="18"/>
        </w:rPr>
      </w:pPr>
    </w:p>
    <w:p w14:paraId="3B8C2C2F" w14:textId="0B87C80A" w:rsidR="00BD366B" w:rsidRDefault="00BD366B" w:rsidP="000021A5">
      <w:pPr>
        <w:jc w:val="both"/>
        <w:rPr>
          <w:rFonts w:ascii="Arial" w:hAnsi="Arial" w:cs="Arial"/>
          <w:sz w:val="18"/>
          <w:szCs w:val="18"/>
        </w:rPr>
      </w:pPr>
    </w:p>
    <w:p w14:paraId="7311ED9D" w14:textId="11D592E7" w:rsidR="00BD366B" w:rsidRDefault="00BD366B" w:rsidP="000021A5">
      <w:pPr>
        <w:jc w:val="both"/>
        <w:rPr>
          <w:rFonts w:ascii="Arial" w:hAnsi="Arial" w:cs="Arial"/>
          <w:sz w:val="18"/>
          <w:szCs w:val="18"/>
        </w:rPr>
      </w:pPr>
    </w:p>
    <w:p w14:paraId="49716CED" w14:textId="1F6CA51A" w:rsidR="00BD366B" w:rsidRDefault="00BD366B" w:rsidP="000021A5">
      <w:pPr>
        <w:jc w:val="both"/>
        <w:rPr>
          <w:rFonts w:ascii="Arial" w:hAnsi="Arial" w:cs="Arial"/>
          <w:sz w:val="18"/>
          <w:szCs w:val="18"/>
        </w:rPr>
      </w:pPr>
    </w:p>
    <w:p w14:paraId="2606AA97" w14:textId="68CB3C05" w:rsidR="00BD366B" w:rsidRDefault="00BD366B" w:rsidP="000021A5">
      <w:pPr>
        <w:jc w:val="both"/>
        <w:rPr>
          <w:rFonts w:ascii="Arial" w:hAnsi="Arial" w:cs="Arial"/>
          <w:sz w:val="18"/>
          <w:szCs w:val="18"/>
        </w:rPr>
      </w:pPr>
    </w:p>
    <w:p w14:paraId="57CA6B80" w14:textId="0B8AE59F" w:rsidR="00BD366B" w:rsidRDefault="00BD366B" w:rsidP="000021A5">
      <w:pPr>
        <w:jc w:val="both"/>
        <w:rPr>
          <w:rFonts w:ascii="Arial" w:hAnsi="Arial" w:cs="Arial"/>
          <w:sz w:val="18"/>
          <w:szCs w:val="18"/>
        </w:rPr>
      </w:pPr>
    </w:p>
    <w:p w14:paraId="6A97A940" w14:textId="5744E7B2" w:rsidR="00BD366B" w:rsidRDefault="00BD366B" w:rsidP="000021A5">
      <w:pPr>
        <w:jc w:val="both"/>
        <w:rPr>
          <w:rFonts w:ascii="Arial" w:hAnsi="Arial" w:cs="Arial"/>
          <w:sz w:val="18"/>
          <w:szCs w:val="18"/>
        </w:rPr>
      </w:pPr>
    </w:p>
    <w:p w14:paraId="097983A4" w14:textId="15BBD43E" w:rsidR="00BD366B" w:rsidRDefault="00BD366B" w:rsidP="000021A5">
      <w:pPr>
        <w:jc w:val="both"/>
        <w:rPr>
          <w:rFonts w:ascii="Arial" w:hAnsi="Arial" w:cs="Arial"/>
          <w:sz w:val="18"/>
          <w:szCs w:val="18"/>
        </w:rPr>
      </w:pPr>
    </w:p>
    <w:p w14:paraId="61CA01B3" w14:textId="1DB00C31" w:rsidR="00BD366B" w:rsidRDefault="00BD366B" w:rsidP="000021A5">
      <w:pPr>
        <w:jc w:val="both"/>
        <w:rPr>
          <w:rFonts w:ascii="Arial" w:hAnsi="Arial" w:cs="Arial"/>
          <w:sz w:val="18"/>
          <w:szCs w:val="18"/>
        </w:rPr>
      </w:pPr>
    </w:p>
    <w:p w14:paraId="05D07751" w14:textId="297E04CA" w:rsidR="00BD366B" w:rsidRDefault="00BD366B" w:rsidP="000021A5">
      <w:pPr>
        <w:jc w:val="both"/>
        <w:rPr>
          <w:rFonts w:ascii="Arial" w:hAnsi="Arial" w:cs="Arial"/>
          <w:sz w:val="18"/>
          <w:szCs w:val="18"/>
        </w:rPr>
      </w:pPr>
    </w:p>
    <w:p w14:paraId="628A9338" w14:textId="793EC360" w:rsidR="00BD366B" w:rsidRDefault="00BD366B" w:rsidP="000021A5">
      <w:pPr>
        <w:jc w:val="both"/>
        <w:rPr>
          <w:rFonts w:ascii="Arial" w:hAnsi="Arial" w:cs="Arial"/>
          <w:sz w:val="18"/>
          <w:szCs w:val="18"/>
        </w:rPr>
      </w:pPr>
    </w:p>
    <w:p w14:paraId="77DA39A0" w14:textId="09E1A3CB" w:rsidR="00BD366B" w:rsidRDefault="00BD366B" w:rsidP="000021A5">
      <w:pPr>
        <w:jc w:val="both"/>
        <w:rPr>
          <w:rFonts w:ascii="Arial" w:hAnsi="Arial" w:cs="Arial"/>
          <w:sz w:val="18"/>
          <w:szCs w:val="18"/>
        </w:rPr>
      </w:pPr>
    </w:p>
    <w:p w14:paraId="30554F2E" w14:textId="53CB6689" w:rsidR="00BD366B" w:rsidRDefault="00BD366B" w:rsidP="000021A5">
      <w:pPr>
        <w:jc w:val="both"/>
        <w:rPr>
          <w:rFonts w:ascii="Arial" w:hAnsi="Arial" w:cs="Arial"/>
          <w:sz w:val="18"/>
          <w:szCs w:val="18"/>
        </w:rPr>
      </w:pPr>
    </w:p>
    <w:p w14:paraId="3D2972E8" w14:textId="7A29FFA6" w:rsidR="00BD366B" w:rsidRDefault="00BD366B" w:rsidP="000021A5">
      <w:pPr>
        <w:jc w:val="both"/>
        <w:rPr>
          <w:rFonts w:ascii="Arial" w:hAnsi="Arial" w:cs="Arial"/>
          <w:sz w:val="18"/>
          <w:szCs w:val="18"/>
        </w:rPr>
      </w:pPr>
    </w:p>
    <w:p w14:paraId="38418D8C" w14:textId="45E012A5" w:rsidR="00BD366B" w:rsidRDefault="00BD366B" w:rsidP="000021A5">
      <w:pPr>
        <w:jc w:val="both"/>
        <w:rPr>
          <w:rFonts w:ascii="Arial" w:hAnsi="Arial" w:cs="Arial"/>
          <w:sz w:val="18"/>
          <w:szCs w:val="18"/>
        </w:rPr>
      </w:pPr>
    </w:p>
    <w:p w14:paraId="4038152A" w14:textId="4290C233" w:rsidR="00BD366B" w:rsidRDefault="00BD366B" w:rsidP="000021A5">
      <w:pPr>
        <w:jc w:val="both"/>
        <w:rPr>
          <w:rFonts w:ascii="Arial" w:hAnsi="Arial" w:cs="Arial"/>
          <w:sz w:val="18"/>
          <w:szCs w:val="18"/>
        </w:rPr>
      </w:pPr>
    </w:p>
    <w:p w14:paraId="4677057B" w14:textId="5F1A0930" w:rsidR="00BD366B" w:rsidRDefault="00BD366B" w:rsidP="000021A5">
      <w:pPr>
        <w:jc w:val="both"/>
        <w:rPr>
          <w:rFonts w:ascii="Arial" w:hAnsi="Arial" w:cs="Arial"/>
          <w:sz w:val="18"/>
          <w:szCs w:val="18"/>
        </w:rPr>
      </w:pPr>
    </w:p>
    <w:p w14:paraId="04DF578C" w14:textId="072E58ED" w:rsidR="00BD366B" w:rsidRDefault="00BD366B" w:rsidP="000021A5">
      <w:pPr>
        <w:jc w:val="both"/>
        <w:rPr>
          <w:rFonts w:ascii="Arial" w:hAnsi="Arial" w:cs="Arial"/>
          <w:sz w:val="18"/>
          <w:szCs w:val="18"/>
        </w:rPr>
      </w:pPr>
    </w:p>
    <w:p w14:paraId="18161F04" w14:textId="77777777" w:rsidR="00BD366B" w:rsidRDefault="00BD366B" w:rsidP="000021A5">
      <w:pPr>
        <w:jc w:val="both"/>
        <w:rPr>
          <w:rFonts w:ascii="Arial" w:hAnsi="Arial" w:cs="Arial"/>
          <w:sz w:val="18"/>
          <w:szCs w:val="18"/>
        </w:rPr>
      </w:pPr>
    </w:p>
    <w:p w14:paraId="369183AC" w14:textId="77777777" w:rsidR="00DD6197" w:rsidRPr="00955AB2" w:rsidRDefault="00DD6197" w:rsidP="00DD6197">
      <w:pPr>
        <w:jc w:val="both"/>
        <w:rPr>
          <w:rFonts w:ascii="Arial" w:hAnsi="Arial" w:cs="Arial"/>
          <w:b/>
          <w:sz w:val="18"/>
          <w:szCs w:val="18"/>
        </w:rPr>
      </w:pPr>
      <w:r w:rsidRPr="00955AB2">
        <w:rPr>
          <w:rFonts w:ascii="Arial" w:hAnsi="Arial" w:cs="Arial"/>
          <w:b/>
          <w:color w:val="000000"/>
          <w:sz w:val="18"/>
          <w:szCs w:val="18"/>
        </w:rPr>
        <w:lastRenderedPageBreak/>
        <w:t>12.- R</w:t>
      </w:r>
      <w:r w:rsidRPr="00955AB2">
        <w:rPr>
          <w:rFonts w:ascii="Arial" w:hAnsi="Arial" w:cs="Arial"/>
          <w:b/>
          <w:sz w:val="18"/>
          <w:szCs w:val="18"/>
        </w:rPr>
        <w:t>emuneraciones recibidas por los administradores y por los directivos.</w:t>
      </w:r>
    </w:p>
    <w:p w14:paraId="077532C2" w14:textId="77777777" w:rsidR="00DD6197" w:rsidRPr="00955AB2" w:rsidRDefault="00DD6197" w:rsidP="00DD6197">
      <w:pPr>
        <w:ind w:left="426"/>
        <w:jc w:val="both"/>
        <w:rPr>
          <w:rFonts w:ascii="Arial" w:hAnsi="Arial" w:cs="Arial"/>
          <w:sz w:val="18"/>
          <w:szCs w:val="18"/>
        </w:rPr>
      </w:pPr>
      <w:r w:rsidRPr="00955AB2">
        <w:rPr>
          <w:rFonts w:ascii="Arial" w:hAnsi="Arial" w:cs="Arial"/>
          <w:sz w:val="18"/>
          <w:szCs w:val="18"/>
        </w:rPr>
        <w:t xml:space="preserve">La evolución de las remuneraciones de los Administradores del </w:t>
      </w:r>
      <w:r>
        <w:rPr>
          <w:rFonts w:ascii="Arial" w:hAnsi="Arial" w:cs="Arial"/>
          <w:sz w:val="18"/>
          <w:szCs w:val="18"/>
        </w:rPr>
        <w:t>periodo terminado el 30 de junio de 2018 con respecto al mismo periodo del ejercicio 2017</w:t>
      </w:r>
      <w:r w:rsidRPr="00955AB2">
        <w:rPr>
          <w:rFonts w:ascii="Arial" w:hAnsi="Arial" w:cs="Arial"/>
          <w:sz w:val="18"/>
          <w:szCs w:val="18"/>
        </w:rPr>
        <w:t xml:space="preserve"> es la siguiente:</w:t>
      </w:r>
    </w:p>
    <w:tbl>
      <w:tblPr>
        <w:tblW w:w="8727" w:type="dxa"/>
        <w:tblInd w:w="400" w:type="dxa"/>
        <w:tblCellMar>
          <w:left w:w="70" w:type="dxa"/>
          <w:right w:w="70" w:type="dxa"/>
        </w:tblCellMar>
        <w:tblLook w:val="04A0" w:firstRow="1" w:lastRow="0" w:firstColumn="1" w:lastColumn="0" w:noHBand="0" w:noVBand="1"/>
      </w:tblPr>
      <w:tblGrid>
        <w:gridCol w:w="6049"/>
        <w:gridCol w:w="191"/>
        <w:gridCol w:w="191"/>
        <w:gridCol w:w="191"/>
        <w:gridCol w:w="971"/>
        <w:gridCol w:w="1134"/>
      </w:tblGrid>
      <w:tr w:rsidR="00DD6197" w:rsidRPr="006D4511" w14:paraId="316615EE" w14:textId="77777777" w:rsidTr="007A74E1">
        <w:trPr>
          <w:trHeight w:val="300"/>
        </w:trPr>
        <w:tc>
          <w:tcPr>
            <w:tcW w:w="6049" w:type="dxa"/>
            <w:tcBorders>
              <w:top w:val="nil"/>
              <w:left w:val="nil"/>
              <w:bottom w:val="nil"/>
              <w:right w:val="nil"/>
            </w:tcBorders>
            <w:shd w:val="clear" w:color="auto" w:fill="auto"/>
            <w:noWrap/>
            <w:vAlign w:val="bottom"/>
            <w:hideMark/>
          </w:tcPr>
          <w:p w14:paraId="3628E4B7"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59DB08B6"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42EA0BDA"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27D58CF4" w14:textId="77777777" w:rsidR="00DD6197" w:rsidRPr="006D4511" w:rsidRDefault="00DD6197" w:rsidP="007A74E1">
            <w:pPr>
              <w:keepNext/>
              <w:rPr>
                <w:rFonts w:ascii="Arial" w:hAnsi="Arial" w:cs="Arial"/>
                <w:sz w:val="18"/>
                <w:szCs w:val="18"/>
                <w:lang w:val="es-ES_tradnl" w:eastAsia="es-ES_tradnl"/>
              </w:rPr>
            </w:pPr>
          </w:p>
        </w:tc>
        <w:tc>
          <w:tcPr>
            <w:tcW w:w="2105" w:type="dxa"/>
            <w:gridSpan w:val="2"/>
            <w:tcBorders>
              <w:top w:val="nil"/>
              <w:left w:val="nil"/>
              <w:bottom w:val="nil"/>
              <w:right w:val="nil"/>
            </w:tcBorders>
            <w:shd w:val="clear" w:color="auto" w:fill="auto"/>
            <w:noWrap/>
            <w:vAlign w:val="bottom"/>
            <w:hideMark/>
          </w:tcPr>
          <w:p w14:paraId="468D2F8D" w14:textId="77777777" w:rsidR="00DD6197" w:rsidRPr="006D4511" w:rsidRDefault="00DD6197" w:rsidP="007A74E1">
            <w:pPr>
              <w:keepNext/>
              <w:jc w:val="center"/>
              <w:rPr>
                <w:rFonts w:ascii="Arial" w:hAnsi="Arial" w:cs="Arial"/>
                <w:b/>
                <w:sz w:val="18"/>
                <w:szCs w:val="18"/>
                <w:lang w:val="es-ES_tradnl" w:eastAsia="es-ES_tradnl"/>
              </w:rPr>
            </w:pPr>
            <w:r w:rsidRPr="006D4511">
              <w:rPr>
                <w:rFonts w:ascii="Arial" w:hAnsi="Arial" w:cs="Arial"/>
                <w:b/>
                <w:sz w:val="18"/>
                <w:szCs w:val="18"/>
                <w:lang w:val="es-ES_tradnl" w:eastAsia="es-ES_tradnl"/>
              </w:rPr>
              <w:t>Importe (miles euros)</w:t>
            </w:r>
          </w:p>
        </w:tc>
      </w:tr>
      <w:tr w:rsidR="00DD6197" w:rsidRPr="006D4511" w14:paraId="76321F31" w14:textId="77777777" w:rsidTr="007A74E1">
        <w:trPr>
          <w:trHeight w:val="300"/>
        </w:trPr>
        <w:tc>
          <w:tcPr>
            <w:tcW w:w="6240" w:type="dxa"/>
            <w:gridSpan w:val="2"/>
            <w:tcBorders>
              <w:top w:val="nil"/>
              <w:left w:val="nil"/>
              <w:bottom w:val="nil"/>
              <w:right w:val="nil"/>
            </w:tcBorders>
            <w:shd w:val="clear" w:color="auto" w:fill="auto"/>
            <w:noWrap/>
            <w:vAlign w:val="bottom"/>
            <w:hideMark/>
          </w:tcPr>
          <w:p w14:paraId="34641FE8" w14:textId="77777777" w:rsidR="00DD6197" w:rsidRPr="006D4511" w:rsidRDefault="00DD6197" w:rsidP="007A74E1">
            <w:pPr>
              <w:keepNext/>
              <w:rPr>
                <w:rFonts w:ascii="Arial" w:hAnsi="Arial" w:cs="Arial"/>
                <w:b/>
                <w:bCs/>
                <w:color w:val="365F91"/>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0028D5F6" w14:textId="77777777" w:rsidR="00DD6197" w:rsidRPr="006D4511" w:rsidRDefault="00DD6197" w:rsidP="007A74E1">
            <w:pPr>
              <w:keepNext/>
              <w:rPr>
                <w:rFonts w:ascii="Arial" w:hAnsi="Arial" w:cs="Arial"/>
                <w:b/>
                <w:bCs/>
                <w:color w:val="365F91"/>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39A4E734" w14:textId="77777777" w:rsidR="00DD6197" w:rsidRPr="006D4511" w:rsidRDefault="00DD6197" w:rsidP="007A74E1">
            <w:pPr>
              <w:keepNext/>
              <w:rPr>
                <w:rFonts w:ascii="Arial" w:hAnsi="Arial" w:cs="Arial"/>
                <w:b/>
                <w:bCs/>
                <w:color w:val="365F91"/>
                <w:sz w:val="18"/>
                <w:szCs w:val="18"/>
                <w:lang w:val="es-ES_tradnl" w:eastAsia="es-ES_tradnl"/>
              </w:rPr>
            </w:pPr>
          </w:p>
        </w:tc>
        <w:tc>
          <w:tcPr>
            <w:tcW w:w="971" w:type="dxa"/>
            <w:tcBorders>
              <w:top w:val="nil"/>
              <w:left w:val="nil"/>
              <w:bottom w:val="nil"/>
              <w:right w:val="nil"/>
            </w:tcBorders>
            <w:shd w:val="clear" w:color="auto" w:fill="auto"/>
            <w:noWrap/>
            <w:vAlign w:val="bottom"/>
            <w:hideMark/>
          </w:tcPr>
          <w:p w14:paraId="06468F83" w14:textId="77777777" w:rsidR="00DD6197" w:rsidRPr="006D4511" w:rsidRDefault="00DD6197" w:rsidP="007A74E1">
            <w:pPr>
              <w:keepNext/>
              <w:jc w:val="center"/>
              <w:rPr>
                <w:rFonts w:ascii="Arial" w:hAnsi="Arial" w:cs="Arial"/>
                <w:b/>
                <w:bCs/>
                <w:sz w:val="18"/>
                <w:szCs w:val="18"/>
                <w:lang w:val="es-ES_tradnl" w:eastAsia="es-ES_tradnl"/>
              </w:rPr>
            </w:pPr>
            <w:r>
              <w:rPr>
                <w:rFonts w:ascii="Arial" w:hAnsi="Arial" w:cs="Arial"/>
                <w:b/>
                <w:bCs/>
                <w:sz w:val="18"/>
                <w:szCs w:val="18"/>
                <w:lang w:val="es-ES_tradnl" w:eastAsia="es-ES_tradnl"/>
              </w:rPr>
              <w:t>PERIODO ACTUAL 2018</w:t>
            </w:r>
          </w:p>
        </w:tc>
        <w:tc>
          <w:tcPr>
            <w:tcW w:w="1134" w:type="dxa"/>
            <w:tcBorders>
              <w:top w:val="nil"/>
              <w:left w:val="nil"/>
              <w:bottom w:val="nil"/>
              <w:right w:val="nil"/>
            </w:tcBorders>
            <w:shd w:val="clear" w:color="auto" w:fill="auto"/>
            <w:noWrap/>
            <w:vAlign w:val="bottom"/>
            <w:hideMark/>
          </w:tcPr>
          <w:p w14:paraId="5BFC3961" w14:textId="77777777" w:rsidR="00DD6197" w:rsidRPr="006D4511" w:rsidRDefault="00DD6197" w:rsidP="007A74E1">
            <w:pPr>
              <w:keepNext/>
              <w:jc w:val="center"/>
              <w:rPr>
                <w:rFonts w:ascii="Arial" w:hAnsi="Arial" w:cs="Arial"/>
                <w:b/>
                <w:bCs/>
                <w:sz w:val="18"/>
                <w:szCs w:val="18"/>
                <w:lang w:val="es-ES_tradnl" w:eastAsia="es-ES_tradnl"/>
              </w:rPr>
            </w:pPr>
            <w:r>
              <w:rPr>
                <w:rFonts w:ascii="Arial" w:hAnsi="Arial" w:cs="Arial"/>
                <w:b/>
                <w:bCs/>
                <w:sz w:val="18"/>
                <w:szCs w:val="18"/>
                <w:lang w:val="es-ES_tradnl" w:eastAsia="es-ES_tradnl"/>
              </w:rPr>
              <w:t>PERIODO ANTERIOR 2017</w:t>
            </w:r>
          </w:p>
        </w:tc>
      </w:tr>
      <w:tr w:rsidR="00DD6197" w:rsidRPr="006D4511" w14:paraId="65FD8443" w14:textId="77777777" w:rsidTr="007A74E1">
        <w:trPr>
          <w:trHeight w:val="300"/>
        </w:trPr>
        <w:tc>
          <w:tcPr>
            <w:tcW w:w="8727" w:type="dxa"/>
            <w:gridSpan w:val="6"/>
            <w:tcBorders>
              <w:top w:val="nil"/>
              <w:left w:val="nil"/>
              <w:bottom w:val="nil"/>
              <w:right w:val="nil"/>
            </w:tcBorders>
            <w:shd w:val="clear" w:color="auto" w:fill="auto"/>
            <w:noWrap/>
            <w:vAlign w:val="bottom"/>
            <w:hideMark/>
          </w:tcPr>
          <w:p w14:paraId="7BE39CA6" w14:textId="77777777" w:rsidR="00DD6197" w:rsidRPr="006D4511" w:rsidRDefault="00DD6197" w:rsidP="007A74E1">
            <w:pPr>
              <w:keepNext/>
              <w:rPr>
                <w:rFonts w:ascii="Arial" w:hAnsi="Arial" w:cs="Arial"/>
                <w:b/>
                <w:bCs/>
                <w:sz w:val="18"/>
                <w:szCs w:val="18"/>
                <w:lang w:val="es-ES_tradnl" w:eastAsia="es-ES_tradnl"/>
              </w:rPr>
            </w:pPr>
            <w:r w:rsidRPr="006D4511">
              <w:rPr>
                <w:rFonts w:ascii="Arial" w:hAnsi="Arial" w:cs="Arial"/>
                <w:b/>
                <w:bCs/>
                <w:sz w:val="18"/>
                <w:szCs w:val="18"/>
                <w:lang w:val="es-ES_tradnl" w:eastAsia="es-ES_tradnl"/>
              </w:rPr>
              <w:t>ADMINISTRADORES:</w:t>
            </w:r>
          </w:p>
        </w:tc>
      </w:tr>
      <w:tr w:rsidR="00DD6197" w:rsidRPr="006D4511" w14:paraId="176338D8" w14:textId="77777777" w:rsidTr="007A74E1">
        <w:trPr>
          <w:trHeight w:val="300"/>
        </w:trPr>
        <w:tc>
          <w:tcPr>
            <w:tcW w:w="8727" w:type="dxa"/>
            <w:gridSpan w:val="6"/>
            <w:tcBorders>
              <w:top w:val="nil"/>
              <w:left w:val="nil"/>
              <w:bottom w:val="nil"/>
              <w:right w:val="nil"/>
            </w:tcBorders>
            <w:shd w:val="clear" w:color="auto" w:fill="auto"/>
            <w:noWrap/>
            <w:vAlign w:val="bottom"/>
            <w:hideMark/>
          </w:tcPr>
          <w:p w14:paraId="49C7F733"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b/>
                <w:bCs/>
                <w:sz w:val="18"/>
                <w:szCs w:val="18"/>
                <w:lang w:val="es-ES_tradnl" w:eastAsia="es-ES_tradnl"/>
              </w:rPr>
              <w:t>Concepto retributivo:</w:t>
            </w:r>
          </w:p>
        </w:tc>
      </w:tr>
      <w:tr w:rsidR="00DD6197" w:rsidRPr="006D4511" w14:paraId="6B64C157" w14:textId="77777777" w:rsidTr="007A74E1">
        <w:trPr>
          <w:trHeight w:val="315"/>
        </w:trPr>
        <w:tc>
          <w:tcPr>
            <w:tcW w:w="6240" w:type="dxa"/>
            <w:gridSpan w:val="2"/>
            <w:tcBorders>
              <w:top w:val="nil"/>
              <w:left w:val="nil"/>
              <w:bottom w:val="nil"/>
              <w:right w:val="nil"/>
            </w:tcBorders>
            <w:shd w:val="clear" w:color="auto" w:fill="auto"/>
            <w:noWrap/>
            <w:vAlign w:val="bottom"/>
            <w:hideMark/>
          </w:tcPr>
          <w:p w14:paraId="54887DBA"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Retribución Fija:</w:t>
            </w:r>
          </w:p>
        </w:tc>
        <w:tc>
          <w:tcPr>
            <w:tcW w:w="191" w:type="dxa"/>
            <w:tcBorders>
              <w:top w:val="nil"/>
              <w:left w:val="nil"/>
              <w:bottom w:val="nil"/>
              <w:right w:val="nil"/>
            </w:tcBorders>
            <w:shd w:val="clear" w:color="auto" w:fill="auto"/>
            <w:noWrap/>
            <w:vAlign w:val="bottom"/>
            <w:hideMark/>
          </w:tcPr>
          <w:p w14:paraId="134C1872"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69529904" w14:textId="77777777" w:rsidR="00DD6197" w:rsidRPr="006D4511" w:rsidRDefault="00DD6197" w:rsidP="007A74E1">
            <w:pPr>
              <w:keepNext/>
              <w:rPr>
                <w:rFonts w:ascii="Arial" w:hAnsi="Arial" w:cs="Arial"/>
                <w:sz w:val="18"/>
                <w:szCs w:val="18"/>
                <w:lang w:val="es-ES_tradnl" w:eastAsia="es-ES_tradnl"/>
              </w:rPr>
            </w:pPr>
          </w:p>
        </w:tc>
        <w:tc>
          <w:tcPr>
            <w:tcW w:w="971" w:type="dxa"/>
            <w:tcBorders>
              <w:top w:val="nil"/>
              <w:left w:val="nil"/>
              <w:bottom w:val="nil"/>
              <w:right w:val="nil"/>
            </w:tcBorders>
            <w:shd w:val="clear" w:color="auto" w:fill="auto"/>
            <w:noWrap/>
            <w:vAlign w:val="bottom"/>
            <w:hideMark/>
          </w:tcPr>
          <w:p w14:paraId="20C512DC" w14:textId="77777777" w:rsidR="00DD6197" w:rsidRPr="006D4511" w:rsidRDefault="00DD6197" w:rsidP="007A74E1">
            <w:pPr>
              <w:keepNext/>
              <w:jc w:val="center"/>
              <w:rPr>
                <w:rFonts w:ascii="Arial" w:hAnsi="Arial" w:cs="Arial"/>
                <w:sz w:val="18"/>
                <w:szCs w:val="18"/>
                <w:lang w:val="es-ES_tradnl" w:eastAsia="es-ES_tradnl"/>
              </w:rPr>
            </w:pPr>
            <w:r>
              <w:rPr>
                <w:rFonts w:ascii="Arial" w:hAnsi="Arial" w:cs="Arial"/>
                <w:sz w:val="18"/>
                <w:szCs w:val="18"/>
                <w:lang w:val="es-ES_tradnl" w:eastAsia="es-ES_tradnl"/>
              </w:rPr>
              <w:t>225</w:t>
            </w:r>
          </w:p>
        </w:tc>
        <w:tc>
          <w:tcPr>
            <w:tcW w:w="1134" w:type="dxa"/>
            <w:tcBorders>
              <w:top w:val="nil"/>
              <w:left w:val="nil"/>
              <w:bottom w:val="nil"/>
              <w:right w:val="nil"/>
            </w:tcBorders>
            <w:shd w:val="clear" w:color="auto" w:fill="auto"/>
            <w:noWrap/>
            <w:vAlign w:val="bottom"/>
            <w:hideMark/>
          </w:tcPr>
          <w:p w14:paraId="437144AF" w14:textId="77777777" w:rsidR="00DD6197" w:rsidRPr="006D4511" w:rsidRDefault="00DD6197" w:rsidP="007A74E1">
            <w:pPr>
              <w:keepNext/>
              <w:jc w:val="center"/>
              <w:rPr>
                <w:rFonts w:ascii="Arial" w:hAnsi="Arial" w:cs="Arial"/>
                <w:sz w:val="18"/>
                <w:szCs w:val="18"/>
                <w:lang w:val="es-ES_tradnl" w:eastAsia="es-ES_tradnl"/>
              </w:rPr>
            </w:pPr>
            <w:r>
              <w:rPr>
                <w:rFonts w:ascii="Arial" w:hAnsi="Arial" w:cs="Arial"/>
                <w:sz w:val="18"/>
                <w:szCs w:val="18"/>
                <w:lang w:val="es-ES_tradnl" w:eastAsia="es-ES_tradnl"/>
              </w:rPr>
              <w:t>225</w:t>
            </w:r>
          </w:p>
        </w:tc>
      </w:tr>
      <w:tr w:rsidR="00DD6197" w:rsidRPr="006D4511" w14:paraId="31D58C54" w14:textId="77777777" w:rsidTr="007A74E1">
        <w:trPr>
          <w:trHeight w:val="300"/>
        </w:trPr>
        <w:tc>
          <w:tcPr>
            <w:tcW w:w="6240" w:type="dxa"/>
            <w:gridSpan w:val="2"/>
            <w:tcBorders>
              <w:top w:val="nil"/>
              <w:left w:val="nil"/>
              <w:bottom w:val="nil"/>
              <w:right w:val="nil"/>
            </w:tcBorders>
            <w:shd w:val="clear" w:color="auto" w:fill="auto"/>
            <w:noWrap/>
            <w:vAlign w:val="bottom"/>
            <w:hideMark/>
          </w:tcPr>
          <w:p w14:paraId="135A29A8"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Retribución Variable:</w:t>
            </w:r>
          </w:p>
        </w:tc>
        <w:tc>
          <w:tcPr>
            <w:tcW w:w="191" w:type="dxa"/>
            <w:tcBorders>
              <w:top w:val="nil"/>
              <w:left w:val="nil"/>
              <w:bottom w:val="nil"/>
              <w:right w:val="nil"/>
            </w:tcBorders>
            <w:shd w:val="clear" w:color="auto" w:fill="auto"/>
            <w:noWrap/>
            <w:vAlign w:val="bottom"/>
            <w:hideMark/>
          </w:tcPr>
          <w:p w14:paraId="04FCE009"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742B701D" w14:textId="77777777" w:rsidR="00DD6197" w:rsidRPr="006D4511" w:rsidRDefault="00DD6197" w:rsidP="007A74E1">
            <w:pPr>
              <w:keepNext/>
              <w:rPr>
                <w:rFonts w:ascii="Arial" w:hAnsi="Arial" w:cs="Arial"/>
                <w:sz w:val="18"/>
                <w:szCs w:val="18"/>
                <w:lang w:val="es-ES_tradnl" w:eastAsia="es-ES_tradnl"/>
              </w:rPr>
            </w:pPr>
          </w:p>
        </w:tc>
        <w:tc>
          <w:tcPr>
            <w:tcW w:w="971" w:type="dxa"/>
            <w:tcBorders>
              <w:top w:val="nil"/>
              <w:left w:val="nil"/>
              <w:bottom w:val="nil"/>
              <w:right w:val="nil"/>
            </w:tcBorders>
            <w:shd w:val="clear" w:color="auto" w:fill="auto"/>
            <w:noWrap/>
            <w:vAlign w:val="bottom"/>
            <w:hideMark/>
          </w:tcPr>
          <w:p w14:paraId="4179073D" w14:textId="77777777" w:rsidR="00DD6197" w:rsidRPr="006D4511" w:rsidRDefault="00DD6197" w:rsidP="007A74E1">
            <w:pPr>
              <w:keepNext/>
              <w:jc w:val="center"/>
              <w:rPr>
                <w:rFonts w:ascii="Arial" w:hAnsi="Arial" w:cs="Arial"/>
                <w:sz w:val="18"/>
                <w:szCs w:val="18"/>
                <w:lang w:val="es-ES_tradnl" w:eastAsia="es-ES_tradnl"/>
              </w:rPr>
            </w:pPr>
            <w:r w:rsidRPr="00B652DC">
              <w:rPr>
                <w:rFonts w:ascii="Arial" w:hAnsi="Arial" w:cs="Arial"/>
                <w:sz w:val="18"/>
                <w:szCs w:val="18"/>
                <w:lang w:val="es-ES_tradnl" w:eastAsia="es-ES_tradnl"/>
              </w:rPr>
              <w:t>56</w:t>
            </w:r>
          </w:p>
        </w:tc>
        <w:tc>
          <w:tcPr>
            <w:tcW w:w="1134" w:type="dxa"/>
            <w:tcBorders>
              <w:top w:val="nil"/>
              <w:left w:val="nil"/>
              <w:bottom w:val="nil"/>
              <w:right w:val="nil"/>
            </w:tcBorders>
            <w:shd w:val="clear" w:color="auto" w:fill="auto"/>
            <w:noWrap/>
            <w:vAlign w:val="bottom"/>
            <w:hideMark/>
          </w:tcPr>
          <w:p w14:paraId="5B178EFE" w14:textId="77777777" w:rsidR="00DD6197" w:rsidRPr="006D4511" w:rsidRDefault="00DD6197" w:rsidP="007A74E1">
            <w:pPr>
              <w:keepNext/>
              <w:jc w:val="center"/>
              <w:rPr>
                <w:rFonts w:ascii="Arial" w:hAnsi="Arial" w:cs="Arial"/>
                <w:sz w:val="18"/>
                <w:szCs w:val="18"/>
                <w:lang w:val="es-ES_tradnl" w:eastAsia="es-ES_tradnl"/>
              </w:rPr>
            </w:pPr>
            <w:r>
              <w:rPr>
                <w:rFonts w:ascii="Arial" w:hAnsi="Arial" w:cs="Arial"/>
                <w:sz w:val="18"/>
                <w:szCs w:val="18"/>
                <w:lang w:val="es-ES_tradnl" w:eastAsia="es-ES_tradnl"/>
              </w:rPr>
              <w:t>56</w:t>
            </w:r>
          </w:p>
        </w:tc>
      </w:tr>
      <w:tr w:rsidR="00DD6197" w:rsidRPr="006D4511" w14:paraId="54C40D74" w14:textId="77777777" w:rsidTr="007A74E1">
        <w:trPr>
          <w:trHeight w:val="350"/>
        </w:trPr>
        <w:tc>
          <w:tcPr>
            <w:tcW w:w="6049" w:type="dxa"/>
            <w:tcBorders>
              <w:top w:val="nil"/>
              <w:left w:val="nil"/>
              <w:bottom w:val="nil"/>
              <w:right w:val="nil"/>
            </w:tcBorders>
            <w:shd w:val="clear" w:color="auto" w:fill="auto"/>
            <w:noWrap/>
            <w:vAlign w:val="bottom"/>
            <w:hideMark/>
          </w:tcPr>
          <w:p w14:paraId="68753520"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Dietas</w:t>
            </w:r>
          </w:p>
        </w:tc>
        <w:tc>
          <w:tcPr>
            <w:tcW w:w="191" w:type="dxa"/>
            <w:tcBorders>
              <w:top w:val="nil"/>
              <w:left w:val="nil"/>
              <w:bottom w:val="nil"/>
              <w:right w:val="nil"/>
            </w:tcBorders>
            <w:shd w:val="clear" w:color="auto" w:fill="auto"/>
            <w:noWrap/>
            <w:vAlign w:val="bottom"/>
            <w:hideMark/>
          </w:tcPr>
          <w:p w14:paraId="7383F8D2"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28ED7538"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38B6B298" w14:textId="77777777" w:rsidR="00DD6197" w:rsidRPr="006D4511" w:rsidRDefault="00DD6197" w:rsidP="007A74E1">
            <w:pPr>
              <w:keepNext/>
              <w:rPr>
                <w:rFonts w:ascii="Arial" w:hAnsi="Arial" w:cs="Arial"/>
                <w:sz w:val="18"/>
                <w:szCs w:val="18"/>
                <w:lang w:val="es-ES_tradnl" w:eastAsia="es-ES_tradnl"/>
              </w:rPr>
            </w:pPr>
          </w:p>
        </w:tc>
        <w:tc>
          <w:tcPr>
            <w:tcW w:w="971" w:type="dxa"/>
            <w:tcBorders>
              <w:top w:val="nil"/>
              <w:left w:val="nil"/>
              <w:bottom w:val="nil"/>
              <w:right w:val="nil"/>
            </w:tcBorders>
            <w:shd w:val="clear" w:color="auto" w:fill="auto"/>
            <w:noWrap/>
            <w:vAlign w:val="bottom"/>
            <w:hideMark/>
          </w:tcPr>
          <w:p w14:paraId="53EE5579" w14:textId="77777777" w:rsidR="00DD6197" w:rsidRPr="006D4511" w:rsidRDefault="00DD6197" w:rsidP="007A74E1">
            <w:pPr>
              <w:keepNext/>
              <w:jc w:val="center"/>
              <w:rPr>
                <w:rFonts w:ascii="Arial" w:hAnsi="Arial" w:cs="Arial"/>
                <w:sz w:val="18"/>
                <w:szCs w:val="18"/>
                <w:lang w:val="es-ES_tradnl" w:eastAsia="es-ES_tradnl"/>
              </w:rPr>
            </w:pPr>
            <w:r>
              <w:rPr>
                <w:rFonts w:ascii="Arial" w:hAnsi="Arial" w:cs="Arial"/>
                <w:sz w:val="18"/>
                <w:szCs w:val="18"/>
                <w:lang w:val="es-ES_tradnl" w:eastAsia="es-ES_tradnl"/>
              </w:rPr>
              <w:t>243</w:t>
            </w:r>
          </w:p>
        </w:tc>
        <w:tc>
          <w:tcPr>
            <w:tcW w:w="1134" w:type="dxa"/>
            <w:tcBorders>
              <w:top w:val="nil"/>
              <w:left w:val="nil"/>
              <w:bottom w:val="nil"/>
              <w:right w:val="nil"/>
            </w:tcBorders>
            <w:shd w:val="clear" w:color="auto" w:fill="auto"/>
            <w:noWrap/>
            <w:vAlign w:val="bottom"/>
            <w:hideMark/>
          </w:tcPr>
          <w:p w14:paraId="7951DE24" w14:textId="77777777" w:rsidR="00DD6197" w:rsidRPr="006D4511" w:rsidRDefault="00DD6197" w:rsidP="007A74E1">
            <w:pPr>
              <w:keepNext/>
              <w:jc w:val="center"/>
              <w:rPr>
                <w:rFonts w:ascii="Arial" w:hAnsi="Arial" w:cs="Arial"/>
                <w:sz w:val="18"/>
                <w:szCs w:val="18"/>
                <w:lang w:val="es-ES_tradnl" w:eastAsia="es-ES_tradnl"/>
              </w:rPr>
            </w:pPr>
            <w:r>
              <w:rPr>
                <w:rFonts w:ascii="Arial" w:hAnsi="Arial" w:cs="Arial"/>
                <w:sz w:val="18"/>
                <w:szCs w:val="18"/>
                <w:lang w:val="es-ES_tradnl" w:eastAsia="es-ES_tradnl"/>
              </w:rPr>
              <w:t>224</w:t>
            </w:r>
          </w:p>
        </w:tc>
      </w:tr>
      <w:tr w:rsidR="00DD6197" w:rsidRPr="006D4511" w14:paraId="70C78F3B" w14:textId="77777777" w:rsidTr="007A74E1">
        <w:trPr>
          <w:trHeight w:val="300"/>
        </w:trPr>
        <w:tc>
          <w:tcPr>
            <w:tcW w:w="8727" w:type="dxa"/>
            <w:gridSpan w:val="6"/>
            <w:tcBorders>
              <w:top w:val="nil"/>
              <w:left w:val="nil"/>
              <w:bottom w:val="nil"/>
              <w:right w:val="nil"/>
            </w:tcBorders>
            <w:shd w:val="clear" w:color="auto" w:fill="auto"/>
            <w:noWrap/>
            <w:vAlign w:val="bottom"/>
            <w:hideMark/>
          </w:tcPr>
          <w:p w14:paraId="0044F715"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Operaciones sobre acciones y/u otros instrumentos financieros</w:t>
            </w:r>
          </w:p>
        </w:tc>
      </w:tr>
      <w:tr w:rsidR="00DD6197" w:rsidRPr="006D4511" w14:paraId="05E79B9B" w14:textId="77777777" w:rsidTr="007A74E1">
        <w:trPr>
          <w:trHeight w:val="300"/>
        </w:trPr>
        <w:tc>
          <w:tcPr>
            <w:tcW w:w="6049" w:type="dxa"/>
            <w:tcBorders>
              <w:top w:val="nil"/>
              <w:left w:val="nil"/>
              <w:right w:val="nil"/>
            </w:tcBorders>
            <w:shd w:val="clear" w:color="auto" w:fill="auto"/>
            <w:noWrap/>
            <w:vAlign w:val="bottom"/>
            <w:hideMark/>
          </w:tcPr>
          <w:p w14:paraId="32CEC9E4"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 xml:space="preserve">Otros </w:t>
            </w:r>
          </w:p>
        </w:tc>
        <w:tc>
          <w:tcPr>
            <w:tcW w:w="191" w:type="dxa"/>
            <w:tcBorders>
              <w:top w:val="nil"/>
              <w:left w:val="nil"/>
              <w:right w:val="nil"/>
            </w:tcBorders>
            <w:shd w:val="clear" w:color="auto" w:fill="auto"/>
            <w:noWrap/>
            <w:vAlign w:val="bottom"/>
            <w:hideMark/>
          </w:tcPr>
          <w:p w14:paraId="4223F0A4"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right w:val="nil"/>
            </w:tcBorders>
            <w:shd w:val="clear" w:color="auto" w:fill="auto"/>
            <w:noWrap/>
            <w:vAlign w:val="bottom"/>
            <w:hideMark/>
          </w:tcPr>
          <w:p w14:paraId="77D3A1FC"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right w:val="nil"/>
            </w:tcBorders>
            <w:shd w:val="clear" w:color="auto" w:fill="auto"/>
            <w:noWrap/>
            <w:vAlign w:val="bottom"/>
            <w:hideMark/>
          </w:tcPr>
          <w:p w14:paraId="0CFA3BA8" w14:textId="77777777" w:rsidR="00DD6197" w:rsidRPr="006D4511" w:rsidRDefault="00DD6197" w:rsidP="007A74E1">
            <w:pPr>
              <w:keepNext/>
              <w:rPr>
                <w:rFonts w:ascii="Arial" w:hAnsi="Arial" w:cs="Arial"/>
                <w:sz w:val="18"/>
                <w:szCs w:val="18"/>
                <w:lang w:val="es-ES_tradnl" w:eastAsia="es-ES_tradnl"/>
              </w:rPr>
            </w:pPr>
          </w:p>
        </w:tc>
        <w:tc>
          <w:tcPr>
            <w:tcW w:w="971" w:type="dxa"/>
            <w:tcBorders>
              <w:top w:val="nil"/>
              <w:left w:val="nil"/>
              <w:right w:val="nil"/>
            </w:tcBorders>
            <w:shd w:val="clear" w:color="auto" w:fill="auto"/>
            <w:noWrap/>
            <w:vAlign w:val="bottom"/>
            <w:hideMark/>
          </w:tcPr>
          <w:p w14:paraId="76CF604A" w14:textId="77777777" w:rsidR="00DD6197" w:rsidRPr="006D4511" w:rsidRDefault="00DD6197" w:rsidP="007A74E1">
            <w:pPr>
              <w:keepNext/>
              <w:jc w:val="center"/>
              <w:rPr>
                <w:rFonts w:ascii="Arial" w:hAnsi="Arial" w:cs="Arial"/>
                <w:sz w:val="18"/>
                <w:szCs w:val="18"/>
                <w:lang w:val="es-ES_tradnl" w:eastAsia="es-ES_tradnl"/>
              </w:rPr>
            </w:pPr>
          </w:p>
        </w:tc>
        <w:tc>
          <w:tcPr>
            <w:tcW w:w="1134" w:type="dxa"/>
            <w:tcBorders>
              <w:top w:val="nil"/>
              <w:left w:val="nil"/>
              <w:right w:val="nil"/>
            </w:tcBorders>
            <w:shd w:val="clear" w:color="auto" w:fill="auto"/>
            <w:noWrap/>
            <w:vAlign w:val="bottom"/>
            <w:hideMark/>
          </w:tcPr>
          <w:p w14:paraId="0CADE2EF" w14:textId="77777777" w:rsidR="00DD6197" w:rsidRPr="006D4511" w:rsidRDefault="00DD6197" w:rsidP="007A74E1">
            <w:pPr>
              <w:keepNext/>
              <w:jc w:val="center"/>
              <w:rPr>
                <w:rFonts w:ascii="Arial" w:hAnsi="Arial" w:cs="Arial"/>
                <w:sz w:val="18"/>
                <w:szCs w:val="18"/>
                <w:lang w:val="es-ES_tradnl" w:eastAsia="es-ES_tradnl"/>
              </w:rPr>
            </w:pPr>
          </w:p>
        </w:tc>
      </w:tr>
      <w:tr w:rsidR="00DD6197" w:rsidRPr="006D4511" w14:paraId="3D159B7E" w14:textId="77777777" w:rsidTr="007A74E1">
        <w:trPr>
          <w:trHeight w:val="300"/>
        </w:trPr>
        <w:tc>
          <w:tcPr>
            <w:tcW w:w="6049" w:type="dxa"/>
            <w:tcBorders>
              <w:right w:val="nil"/>
            </w:tcBorders>
            <w:shd w:val="clear" w:color="auto" w:fill="auto"/>
            <w:noWrap/>
            <w:vAlign w:val="bottom"/>
            <w:hideMark/>
          </w:tcPr>
          <w:p w14:paraId="2149464D" w14:textId="77777777" w:rsidR="00DD6197" w:rsidRPr="006D4511" w:rsidRDefault="00DD6197" w:rsidP="007A74E1">
            <w:pPr>
              <w:keepNext/>
              <w:rPr>
                <w:rFonts w:ascii="Arial" w:hAnsi="Arial" w:cs="Arial"/>
                <w:b/>
                <w:bCs/>
                <w:sz w:val="18"/>
                <w:szCs w:val="18"/>
                <w:lang w:val="es-ES_tradnl" w:eastAsia="es-ES_tradnl"/>
              </w:rPr>
            </w:pPr>
            <w:r w:rsidRPr="006D4511">
              <w:rPr>
                <w:rFonts w:ascii="Arial" w:hAnsi="Arial" w:cs="Arial"/>
                <w:b/>
                <w:bCs/>
                <w:sz w:val="18"/>
                <w:szCs w:val="18"/>
                <w:lang w:val="es-ES_tradnl" w:eastAsia="es-ES_tradnl"/>
              </w:rPr>
              <w:t>TOTAL</w:t>
            </w:r>
          </w:p>
        </w:tc>
        <w:tc>
          <w:tcPr>
            <w:tcW w:w="191" w:type="dxa"/>
            <w:tcBorders>
              <w:left w:val="nil"/>
              <w:right w:val="nil"/>
            </w:tcBorders>
            <w:shd w:val="clear" w:color="auto" w:fill="auto"/>
            <w:noWrap/>
            <w:vAlign w:val="bottom"/>
            <w:hideMark/>
          </w:tcPr>
          <w:p w14:paraId="131ACC45" w14:textId="77777777" w:rsidR="00DD6197" w:rsidRPr="006D4511" w:rsidRDefault="00DD6197" w:rsidP="007A74E1">
            <w:pPr>
              <w:keepNext/>
              <w:rPr>
                <w:rFonts w:ascii="Arial" w:hAnsi="Arial" w:cs="Arial"/>
                <w:b/>
                <w:bCs/>
                <w:sz w:val="18"/>
                <w:szCs w:val="18"/>
                <w:lang w:val="es-ES_tradnl" w:eastAsia="es-ES_tradnl"/>
              </w:rPr>
            </w:pPr>
          </w:p>
        </w:tc>
        <w:tc>
          <w:tcPr>
            <w:tcW w:w="191" w:type="dxa"/>
            <w:tcBorders>
              <w:left w:val="nil"/>
              <w:right w:val="nil"/>
            </w:tcBorders>
            <w:shd w:val="clear" w:color="auto" w:fill="auto"/>
            <w:noWrap/>
            <w:vAlign w:val="bottom"/>
            <w:hideMark/>
          </w:tcPr>
          <w:p w14:paraId="061B33CF" w14:textId="77777777" w:rsidR="00DD6197" w:rsidRPr="006D4511" w:rsidRDefault="00DD6197" w:rsidP="007A74E1">
            <w:pPr>
              <w:keepNext/>
              <w:rPr>
                <w:rFonts w:ascii="Arial" w:hAnsi="Arial" w:cs="Arial"/>
                <w:b/>
                <w:bCs/>
                <w:sz w:val="18"/>
                <w:szCs w:val="18"/>
                <w:lang w:val="es-ES_tradnl" w:eastAsia="es-ES_tradnl"/>
              </w:rPr>
            </w:pPr>
          </w:p>
        </w:tc>
        <w:tc>
          <w:tcPr>
            <w:tcW w:w="191" w:type="dxa"/>
            <w:tcBorders>
              <w:left w:val="nil"/>
              <w:right w:val="nil"/>
            </w:tcBorders>
            <w:shd w:val="clear" w:color="auto" w:fill="auto"/>
            <w:noWrap/>
            <w:vAlign w:val="bottom"/>
            <w:hideMark/>
          </w:tcPr>
          <w:p w14:paraId="5C9F3D47" w14:textId="77777777" w:rsidR="00DD6197" w:rsidRPr="006D4511" w:rsidRDefault="00DD6197" w:rsidP="007A74E1">
            <w:pPr>
              <w:keepNext/>
              <w:rPr>
                <w:rFonts w:ascii="Arial" w:hAnsi="Arial" w:cs="Arial"/>
                <w:b/>
                <w:bCs/>
                <w:sz w:val="18"/>
                <w:szCs w:val="18"/>
                <w:lang w:val="es-ES_tradnl" w:eastAsia="es-ES_tradnl"/>
              </w:rPr>
            </w:pPr>
          </w:p>
        </w:tc>
        <w:tc>
          <w:tcPr>
            <w:tcW w:w="971" w:type="dxa"/>
            <w:tcBorders>
              <w:left w:val="nil"/>
              <w:right w:val="nil"/>
            </w:tcBorders>
            <w:shd w:val="clear" w:color="auto" w:fill="auto"/>
            <w:noWrap/>
            <w:vAlign w:val="bottom"/>
            <w:hideMark/>
          </w:tcPr>
          <w:p w14:paraId="63FEA5A8" w14:textId="77777777" w:rsidR="00DD6197" w:rsidRPr="006D4511" w:rsidRDefault="00DD6197" w:rsidP="007A74E1">
            <w:pPr>
              <w:keepNext/>
              <w:jc w:val="center"/>
              <w:rPr>
                <w:rFonts w:ascii="Arial" w:hAnsi="Arial" w:cs="Arial"/>
                <w:b/>
                <w:sz w:val="18"/>
                <w:szCs w:val="18"/>
                <w:lang w:val="es-ES_tradnl" w:eastAsia="es-ES_tradnl"/>
              </w:rPr>
            </w:pPr>
            <w:r>
              <w:rPr>
                <w:rFonts w:ascii="Arial" w:hAnsi="Arial" w:cs="Arial"/>
                <w:b/>
                <w:sz w:val="18"/>
                <w:szCs w:val="18"/>
                <w:lang w:val="es-ES_tradnl" w:eastAsia="es-ES_tradnl"/>
              </w:rPr>
              <w:t>524</w:t>
            </w:r>
          </w:p>
        </w:tc>
        <w:tc>
          <w:tcPr>
            <w:tcW w:w="1134" w:type="dxa"/>
            <w:tcBorders>
              <w:left w:val="nil"/>
            </w:tcBorders>
            <w:shd w:val="clear" w:color="auto" w:fill="auto"/>
            <w:noWrap/>
            <w:vAlign w:val="bottom"/>
            <w:hideMark/>
          </w:tcPr>
          <w:p w14:paraId="3B260835" w14:textId="77777777" w:rsidR="00DD6197" w:rsidRPr="006D4511" w:rsidRDefault="00DD6197" w:rsidP="007A74E1">
            <w:pPr>
              <w:keepNext/>
              <w:jc w:val="center"/>
              <w:rPr>
                <w:rFonts w:ascii="Arial" w:hAnsi="Arial" w:cs="Arial"/>
                <w:b/>
                <w:sz w:val="18"/>
                <w:szCs w:val="18"/>
                <w:lang w:val="es-ES_tradnl" w:eastAsia="es-ES_tradnl"/>
              </w:rPr>
            </w:pPr>
            <w:r>
              <w:rPr>
                <w:rFonts w:ascii="Arial" w:hAnsi="Arial" w:cs="Arial"/>
                <w:b/>
                <w:sz w:val="18"/>
                <w:szCs w:val="18"/>
                <w:lang w:val="es-ES_tradnl" w:eastAsia="es-ES_tradnl"/>
              </w:rPr>
              <w:t>505</w:t>
            </w:r>
          </w:p>
        </w:tc>
      </w:tr>
      <w:tr w:rsidR="00DD6197" w:rsidRPr="006D4511" w14:paraId="375A9729" w14:textId="77777777" w:rsidTr="007A74E1">
        <w:trPr>
          <w:trHeight w:val="300"/>
        </w:trPr>
        <w:tc>
          <w:tcPr>
            <w:tcW w:w="8727" w:type="dxa"/>
            <w:gridSpan w:val="6"/>
            <w:tcBorders>
              <w:top w:val="nil"/>
              <w:left w:val="nil"/>
              <w:bottom w:val="nil"/>
              <w:right w:val="nil"/>
            </w:tcBorders>
            <w:shd w:val="clear" w:color="auto" w:fill="auto"/>
            <w:noWrap/>
            <w:vAlign w:val="bottom"/>
            <w:hideMark/>
          </w:tcPr>
          <w:p w14:paraId="00FAFA22"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b/>
                <w:bCs/>
                <w:sz w:val="18"/>
                <w:szCs w:val="18"/>
                <w:lang w:val="es-ES_tradnl" w:eastAsia="es-ES_tradnl"/>
              </w:rPr>
              <w:t>Otros beneficios:</w:t>
            </w:r>
          </w:p>
        </w:tc>
      </w:tr>
      <w:tr w:rsidR="00DD6197" w:rsidRPr="006D4511" w14:paraId="65BE6A53" w14:textId="77777777" w:rsidTr="0042048D">
        <w:trPr>
          <w:trHeight w:val="291"/>
        </w:trPr>
        <w:tc>
          <w:tcPr>
            <w:tcW w:w="6049" w:type="dxa"/>
            <w:tcBorders>
              <w:top w:val="nil"/>
              <w:left w:val="nil"/>
              <w:bottom w:val="nil"/>
              <w:right w:val="nil"/>
            </w:tcBorders>
            <w:shd w:val="clear" w:color="auto" w:fill="auto"/>
            <w:noWrap/>
            <w:vAlign w:val="bottom"/>
            <w:hideMark/>
          </w:tcPr>
          <w:p w14:paraId="2965CB33"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Anticipos</w:t>
            </w:r>
          </w:p>
        </w:tc>
        <w:tc>
          <w:tcPr>
            <w:tcW w:w="191" w:type="dxa"/>
            <w:tcBorders>
              <w:top w:val="nil"/>
              <w:left w:val="nil"/>
              <w:bottom w:val="nil"/>
              <w:right w:val="nil"/>
            </w:tcBorders>
            <w:shd w:val="clear" w:color="auto" w:fill="auto"/>
            <w:noWrap/>
            <w:vAlign w:val="bottom"/>
            <w:hideMark/>
          </w:tcPr>
          <w:p w14:paraId="41313786"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182BDAE9"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6579DE34" w14:textId="77777777" w:rsidR="00DD6197" w:rsidRPr="006D4511" w:rsidRDefault="00DD6197" w:rsidP="007A74E1">
            <w:pPr>
              <w:keepNext/>
              <w:rPr>
                <w:rFonts w:ascii="Arial" w:hAnsi="Arial" w:cs="Arial"/>
                <w:sz w:val="18"/>
                <w:szCs w:val="18"/>
                <w:lang w:val="es-ES_tradnl" w:eastAsia="es-ES_tradnl"/>
              </w:rPr>
            </w:pPr>
          </w:p>
        </w:tc>
        <w:tc>
          <w:tcPr>
            <w:tcW w:w="971" w:type="dxa"/>
            <w:tcBorders>
              <w:top w:val="nil"/>
              <w:left w:val="nil"/>
              <w:bottom w:val="nil"/>
              <w:right w:val="nil"/>
            </w:tcBorders>
            <w:shd w:val="clear" w:color="auto" w:fill="auto"/>
            <w:noWrap/>
            <w:vAlign w:val="bottom"/>
            <w:hideMark/>
          </w:tcPr>
          <w:p w14:paraId="0F4E6EA0"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 xml:space="preserve">     </w:t>
            </w:r>
          </w:p>
        </w:tc>
        <w:tc>
          <w:tcPr>
            <w:tcW w:w="1134" w:type="dxa"/>
            <w:tcBorders>
              <w:top w:val="nil"/>
              <w:left w:val="nil"/>
              <w:bottom w:val="nil"/>
              <w:right w:val="nil"/>
            </w:tcBorders>
            <w:shd w:val="clear" w:color="auto" w:fill="auto"/>
            <w:noWrap/>
            <w:vAlign w:val="bottom"/>
            <w:hideMark/>
          </w:tcPr>
          <w:p w14:paraId="4EF69BA8"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 xml:space="preserve">     </w:t>
            </w:r>
          </w:p>
        </w:tc>
      </w:tr>
      <w:tr w:rsidR="00DD6197" w:rsidRPr="006D4511" w14:paraId="532A8530" w14:textId="77777777" w:rsidTr="007A74E1">
        <w:trPr>
          <w:trHeight w:val="300"/>
        </w:trPr>
        <w:tc>
          <w:tcPr>
            <w:tcW w:w="6240" w:type="dxa"/>
            <w:gridSpan w:val="2"/>
            <w:tcBorders>
              <w:top w:val="nil"/>
              <w:left w:val="nil"/>
              <w:bottom w:val="nil"/>
              <w:right w:val="nil"/>
            </w:tcBorders>
            <w:shd w:val="clear" w:color="auto" w:fill="auto"/>
            <w:noWrap/>
            <w:vAlign w:val="bottom"/>
            <w:hideMark/>
          </w:tcPr>
          <w:p w14:paraId="5501DA60"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Créditos concedidos</w:t>
            </w:r>
          </w:p>
        </w:tc>
        <w:tc>
          <w:tcPr>
            <w:tcW w:w="191" w:type="dxa"/>
            <w:tcBorders>
              <w:top w:val="nil"/>
              <w:left w:val="nil"/>
              <w:bottom w:val="nil"/>
              <w:right w:val="nil"/>
            </w:tcBorders>
            <w:shd w:val="clear" w:color="auto" w:fill="auto"/>
            <w:noWrap/>
            <w:vAlign w:val="bottom"/>
            <w:hideMark/>
          </w:tcPr>
          <w:p w14:paraId="4323881D"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4529A850" w14:textId="77777777" w:rsidR="00DD6197" w:rsidRPr="006D4511" w:rsidRDefault="00DD6197" w:rsidP="007A74E1">
            <w:pPr>
              <w:keepNext/>
              <w:rPr>
                <w:rFonts w:ascii="Arial" w:hAnsi="Arial" w:cs="Arial"/>
                <w:sz w:val="18"/>
                <w:szCs w:val="18"/>
                <w:lang w:val="es-ES_tradnl" w:eastAsia="es-ES_tradnl"/>
              </w:rPr>
            </w:pPr>
          </w:p>
        </w:tc>
        <w:tc>
          <w:tcPr>
            <w:tcW w:w="971" w:type="dxa"/>
            <w:tcBorders>
              <w:top w:val="nil"/>
              <w:left w:val="nil"/>
              <w:bottom w:val="nil"/>
              <w:right w:val="nil"/>
            </w:tcBorders>
            <w:shd w:val="clear" w:color="auto" w:fill="auto"/>
            <w:noWrap/>
            <w:vAlign w:val="bottom"/>
            <w:hideMark/>
          </w:tcPr>
          <w:p w14:paraId="6A2ACE7D" w14:textId="77777777" w:rsidR="00DD6197" w:rsidRPr="006D4511" w:rsidRDefault="00DD6197" w:rsidP="007A74E1">
            <w:pPr>
              <w:keepNext/>
              <w:rPr>
                <w:rFonts w:ascii="Arial" w:hAnsi="Arial" w:cs="Arial"/>
                <w:sz w:val="18"/>
                <w:szCs w:val="18"/>
                <w:lang w:val="es-ES_tradnl" w:eastAsia="es-ES_tradnl"/>
              </w:rPr>
            </w:pPr>
          </w:p>
        </w:tc>
        <w:tc>
          <w:tcPr>
            <w:tcW w:w="1134" w:type="dxa"/>
            <w:tcBorders>
              <w:top w:val="nil"/>
              <w:left w:val="nil"/>
              <w:bottom w:val="nil"/>
              <w:right w:val="nil"/>
            </w:tcBorders>
            <w:shd w:val="clear" w:color="auto" w:fill="auto"/>
            <w:noWrap/>
            <w:vAlign w:val="bottom"/>
            <w:hideMark/>
          </w:tcPr>
          <w:p w14:paraId="074091EA" w14:textId="77777777" w:rsidR="00DD6197" w:rsidRPr="006D4511" w:rsidRDefault="00DD6197" w:rsidP="007A74E1">
            <w:pPr>
              <w:keepNext/>
              <w:rPr>
                <w:rFonts w:ascii="Arial" w:hAnsi="Arial" w:cs="Arial"/>
                <w:sz w:val="18"/>
                <w:szCs w:val="18"/>
                <w:lang w:val="es-ES_tradnl" w:eastAsia="es-ES_tradnl"/>
              </w:rPr>
            </w:pPr>
          </w:p>
        </w:tc>
      </w:tr>
      <w:tr w:rsidR="00DD6197" w:rsidRPr="006D4511" w14:paraId="76611AFA" w14:textId="77777777" w:rsidTr="007A74E1">
        <w:trPr>
          <w:trHeight w:val="300"/>
        </w:trPr>
        <w:tc>
          <w:tcPr>
            <w:tcW w:w="6622" w:type="dxa"/>
            <w:gridSpan w:val="4"/>
            <w:tcBorders>
              <w:top w:val="nil"/>
              <w:left w:val="nil"/>
              <w:bottom w:val="nil"/>
              <w:right w:val="nil"/>
            </w:tcBorders>
            <w:shd w:val="clear" w:color="auto" w:fill="auto"/>
            <w:noWrap/>
            <w:vAlign w:val="bottom"/>
            <w:hideMark/>
          </w:tcPr>
          <w:p w14:paraId="214471B5"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Fondos y planes de pensiones: Aportaciones</w:t>
            </w:r>
          </w:p>
        </w:tc>
        <w:tc>
          <w:tcPr>
            <w:tcW w:w="971" w:type="dxa"/>
            <w:tcBorders>
              <w:top w:val="nil"/>
              <w:left w:val="nil"/>
              <w:bottom w:val="nil"/>
              <w:right w:val="nil"/>
            </w:tcBorders>
            <w:shd w:val="clear" w:color="auto" w:fill="auto"/>
            <w:noWrap/>
            <w:vAlign w:val="bottom"/>
            <w:hideMark/>
          </w:tcPr>
          <w:p w14:paraId="59CAFC7A" w14:textId="77777777" w:rsidR="00DD6197" w:rsidRPr="006D4511" w:rsidRDefault="00DD6197" w:rsidP="007A74E1">
            <w:pPr>
              <w:keepNext/>
              <w:rPr>
                <w:rFonts w:ascii="Arial" w:hAnsi="Arial" w:cs="Arial"/>
                <w:sz w:val="18"/>
                <w:szCs w:val="18"/>
                <w:lang w:val="es-ES_tradnl" w:eastAsia="es-ES_tradnl"/>
              </w:rPr>
            </w:pPr>
          </w:p>
        </w:tc>
        <w:tc>
          <w:tcPr>
            <w:tcW w:w="1134" w:type="dxa"/>
            <w:tcBorders>
              <w:top w:val="nil"/>
              <w:left w:val="nil"/>
              <w:bottom w:val="nil"/>
              <w:right w:val="nil"/>
            </w:tcBorders>
            <w:shd w:val="clear" w:color="auto" w:fill="auto"/>
            <w:noWrap/>
            <w:vAlign w:val="bottom"/>
            <w:hideMark/>
          </w:tcPr>
          <w:p w14:paraId="5B44B859" w14:textId="77777777" w:rsidR="00DD6197" w:rsidRPr="006D4511" w:rsidRDefault="00DD6197" w:rsidP="007A74E1">
            <w:pPr>
              <w:keepNext/>
              <w:rPr>
                <w:rFonts w:ascii="Arial" w:hAnsi="Arial" w:cs="Arial"/>
                <w:sz w:val="18"/>
                <w:szCs w:val="18"/>
                <w:lang w:val="es-ES_tradnl" w:eastAsia="es-ES_tradnl"/>
              </w:rPr>
            </w:pPr>
          </w:p>
        </w:tc>
      </w:tr>
      <w:tr w:rsidR="00DD6197" w:rsidRPr="006D4511" w14:paraId="7EEA460C" w14:textId="77777777" w:rsidTr="007A74E1">
        <w:trPr>
          <w:trHeight w:val="300"/>
        </w:trPr>
        <w:tc>
          <w:tcPr>
            <w:tcW w:w="8727" w:type="dxa"/>
            <w:gridSpan w:val="6"/>
            <w:tcBorders>
              <w:top w:val="nil"/>
              <w:left w:val="nil"/>
              <w:bottom w:val="nil"/>
              <w:right w:val="nil"/>
            </w:tcBorders>
            <w:shd w:val="clear" w:color="auto" w:fill="auto"/>
            <w:noWrap/>
            <w:vAlign w:val="bottom"/>
            <w:hideMark/>
          </w:tcPr>
          <w:p w14:paraId="0654D133"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Fondos y planes de pensiones: Obligaciones contraídas</w:t>
            </w:r>
          </w:p>
        </w:tc>
      </w:tr>
      <w:tr w:rsidR="00DD6197" w:rsidRPr="006D4511" w14:paraId="3B01B178" w14:textId="77777777" w:rsidTr="007A74E1">
        <w:trPr>
          <w:trHeight w:val="300"/>
        </w:trPr>
        <w:tc>
          <w:tcPr>
            <w:tcW w:w="6240" w:type="dxa"/>
            <w:gridSpan w:val="2"/>
            <w:tcBorders>
              <w:top w:val="nil"/>
              <w:left w:val="nil"/>
              <w:bottom w:val="nil"/>
              <w:right w:val="nil"/>
            </w:tcBorders>
            <w:shd w:val="clear" w:color="000000" w:fill="FFFFFF"/>
            <w:noWrap/>
            <w:vAlign w:val="bottom"/>
            <w:hideMark/>
          </w:tcPr>
          <w:p w14:paraId="7C8E4739"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Primas de seguros de vida</w:t>
            </w:r>
          </w:p>
        </w:tc>
        <w:tc>
          <w:tcPr>
            <w:tcW w:w="191" w:type="dxa"/>
            <w:tcBorders>
              <w:top w:val="nil"/>
              <w:left w:val="nil"/>
              <w:bottom w:val="nil"/>
              <w:right w:val="nil"/>
            </w:tcBorders>
            <w:shd w:val="clear" w:color="auto" w:fill="auto"/>
            <w:noWrap/>
            <w:vAlign w:val="bottom"/>
            <w:hideMark/>
          </w:tcPr>
          <w:p w14:paraId="794F4220" w14:textId="77777777" w:rsidR="00DD6197" w:rsidRPr="006D4511" w:rsidRDefault="00DD6197" w:rsidP="007A74E1">
            <w:pPr>
              <w:keepNext/>
              <w:rPr>
                <w:rFonts w:ascii="Arial" w:hAnsi="Arial" w:cs="Arial"/>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70A8BF88" w14:textId="77777777" w:rsidR="00DD6197" w:rsidRPr="006D4511" w:rsidRDefault="00DD6197" w:rsidP="007A74E1">
            <w:pPr>
              <w:keepNext/>
              <w:rPr>
                <w:rFonts w:ascii="Arial" w:hAnsi="Arial" w:cs="Arial"/>
                <w:sz w:val="18"/>
                <w:szCs w:val="18"/>
                <w:lang w:val="es-ES_tradnl" w:eastAsia="es-ES_tradnl"/>
              </w:rPr>
            </w:pPr>
          </w:p>
        </w:tc>
        <w:tc>
          <w:tcPr>
            <w:tcW w:w="971" w:type="dxa"/>
            <w:tcBorders>
              <w:top w:val="nil"/>
              <w:left w:val="nil"/>
              <w:bottom w:val="nil"/>
              <w:right w:val="nil"/>
            </w:tcBorders>
            <w:shd w:val="clear" w:color="000000" w:fill="FFFFFF"/>
            <w:noWrap/>
            <w:vAlign w:val="bottom"/>
            <w:hideMark/>
          </w:tcPr>
          <w:p w14:paraId="14C8B2A1"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 </w:t>
            </w:r>
          </w:p>
        </w:tc>
        <w:tc>
          <w:tcPr>
            <w:tcW w:w="1134" w:type="dxa"/>
            <w:tcBorders>
              <w:top w:val="nil"/>
              <w:left w:val="nil"/>
              <w:bottom w:val="nil"/>
              <w:right w:val="nil"/>
            </w:tcBorders>
            <w:shd w:val="clear" w:color="auto" w:fill="auto"/>
            <w:noWrap/>
            <w:vAlign w:val="bottom"/>
            <w:hideMark/>
          </w:tcPr>
          <w:p w14:paraId="72798574" w14:textId="77777777" w:rsidR="00DD6197" w:rsidRPr="006D4511" w:rsidRDefault="00DD6197" w:rsidP="007A74E1">
            <w:pPr>
              <w:keepNext/>
              <w:jc w:val="right"/>
              <w:rPr>
                <w:rFonts w:ascii="Arial" w:hAnsi="Arial" w:cs="Arial"/>
                <w:sz w:val="18"/>
                <w:szCs w:val="18"/>
                <w:lang w:val="es-ES_tradnl" w:eastAsia="es-ES_tradnl"/>
              </w:rPr>
            </w:pPr>
          </w:p>
        </w:tc>
      </w:tr>
      <w:tr w:rsidR="00DD6197" w:rsidRPr="006D4511" w14:paraId="33C3B9B9" w14:textId="77777777" w:rsidTr="007A74E1">
        <w:trPr>
          <w:trHeight w:val="300"/>
        </w:trPr>
        <w:tc>
          <w:tcPr>
            <w:tcW w:w="6622" w:type="dxa"/>
            <w:gridSpan w:val="4"/>
            <w:tcBorders>
              <w:top w:val="nil"/>
              <w:left w:val="nil"/>
              <w:bottom w:val="nil"/>
              <w:right w:val="nil"/>
            </w:tcBorders>
            <w:shd w:val="clear" w:color="auto" w:fill="auto"/>
            <w:noWrap/>
            <w:vAlign w:val="bottom"/>
            <w:hideMark/>
          </w:tcPr>
          <w:p w14:paraId="4B022C06"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sz w:val="18"/>
                <w:szCs w:val="18"/>
                <w:lang w:val="es-ES_tradnl" w:eastAsia="es-ES_tradnl"/>
              </w:rPr>
              <w:t xml:space="preserve">Garantías constituidas a favor de los </w:t>
            </w:r>
            <w:proofErr w:type="gramStart"/>
            <w:r w:rsidRPr="006D4511">
              <w:rPr>
                <w:rFonts w:ascii="Arial" w:hAnsi="Arial" w:cs="Arial"/>
                <w:sz w:val="18"/>
                <w:szCs w:val="18"/>
                <w:lang w:val="es-ES_tradnl" w:eastAsia="es-ES_tradnl"/>
              </w:rPr>
              <w:t>Consejeros</w:t>
            </w:r>
            <w:proofErr w:type="gramEnd"/>
          </w:p>
        </w:tc>
        <w:tc>
          <w:tcPr>
            <w:tcW w:w="971" w:type="dxa"/>
            <w:tcBorders>
              <w:top w:val="nil"/>
              <w:left w:val="nil"/>
              <w:bottom w:val="nil"/>
              <w:right w:val="nil"/>
            </w:tcBorders>
            <w:shd w:val="clear" w:color="auto" w:fill="auto"/>
            <w:noWrap/>
            <w:vAlign w:val="bottom"/>
            <w:hideMark/>
          </w:tcPr>
          <w:p w14:paraId="2D5FBD72" w14:textId="77777777" w:rsidR="00DD6197" w:rsidRPr="006D4511" w:rsidRDefault="00DD6197" w:rsidP="007A74E1">
            <w:pPr>
              <w:keepNext/>
              <w:rPr>
                <w:rFonts w:ascii="Arial" w:hAnsi="Arial" w:cs="Arial"/>
                <w:sz w:val="18"/>
                <w:szCs w:val="18"/>
                <w:lang w:val="es-ES_tradnl" w:eastAsia="es-ES_tradnl"/>
              </w:rPr>
            </w:pPr>
          </w:p>
        </w:tc>
        <w:tc>
          <w:tcPr>
            <w:tcW w:w="1134" w:type="dxa"/>
            <w:tcBorders>
              <w:top w:val="nil"/>
              <w:left w:val="nil"/>
              <w:bottom w:val="nil"/>
              <w:right w:val="nil"/>
            </w:tcBorders>
            <w:shd w:val="clear" w:color="auto" w:fill="auto"/>
            <w:noWrap/>
            <w:vAlign w:val="bottom"/>
            <w:hideMark/>
          </w:tcPr>
          <w:p w14:paraId="4CF37B08" w14:textId="77777777" w:rsidR="00DD6197" w:rsidRPr="006D4511" w:rsidRDefault="00DD6197" w:rsidP="007A74E1">
            <w:pPr>
              <w:keepNext/>
              <w:rPr>
                <w:rFonts w:ascii="Arial" w:hAnsi="Arial" w:cs="Arial"/>
                <w:sz w:val="18"/>
                <w:szCs w:val="18"/>
                <w:lang w:val="es-ES_tradnl" w:eastAsia="es-ES_tradnl"/>
              </w:rPr>
            </w:pPr>
          </w:p>
        </w:tc>
      </w:tr>
      <w:tr w:rsidR="00DD6197" w:rsidRPr="006D4511" w14:paraId="0C1EEA23" w14:textId="77777777" w:rsidTr="007A74E1">
        <w:trPr>
          <w:trHeight w:val="300"/>
        </w:trPr>
        <w:tc>
          <w:tcPr>
            <w:tcW w:w="6049" w:type="dxa"/>
            <w:tcBorders>
              <w:top w:val="nil"/>
              <w:left w:val="nil"/>
              <w:bottom w:val="nil"/>
              <w:right w:val="nil"/>
            </w:tcBorders>
            <w:shd w:val="clear" w:color="auto" w:fill="auto"/>
            <w:noWrap/>
            <w:vAlign w:val="bottom"/>
            <w:hideMark/>
          </w:tcPr>
          <w:p w14:paraId="76B8C38C" w14:textId="77777777" w:rsidR="00DD6197" w:rsidRPr="006D4511" w:rsidRDefault="00DD6197" w:rsidP="007A74E1">
            <w:pPr>
              <w:keepNext/>
              <w:rPr>
                <w:rFonts w:ascii="Arial" w:hAnsi="Arial" w:cs="Arial"/>
                <w:b/>
                <w:bCs/>
                <w:color w:val="4F81BD"/>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2932CDCB" w14:textId="77777777" w:rsidR="00DD6197" w:rsidRPr="006D4511" w:rsidRDefault="00DD6197" w:rsidP="007A74E1">
            <w:pPr>
              <w:keepNext/>
              <w:rPr>
                <w:rFonts w:ascii="Arial" w:hAnsi="Arial" w:cs="Arial"/>
                <w:b/>
                <w:bCs/>
                <w:color w:val="4F81BD"/>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1D0DA902" w14:textId="77777777" w:rsidR="00DD6197" w:rsidRPr="006D4511" w:rsidRDefault="00DD6197" w:rsidP="007A74E1">
            <w:pPr>
              <w:keepNext/>
              <w:rPr>
                <w:rFonts w:ascii="Arial" w:hAnsi="Arial" w:cs="Arial"/>
                <w:b/>
                <w:bCs/>
                <w:color w:val="4F81BD"/>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30197769" w14:textId="77777777" w:rsidR="00DD6197" w:rsidRPr="006D4511" w:rsidRDefault="00DD6197" w:rsidP="007A74E1">
            <w:pPr>
              <w:keepNext/>
              <w:rPr>
                <w:rFonts w:ascii="Arial" w:hAnsi="Arial" w:cs="Arial"/>
                <w:b/>
                <w:bCs/>
                <w:color w:val="4F81BD"/>
                <w:sz w:val="18"/>
                <w:szCs w:val="18"/>
                <w:lang w:val="es-ES_tradnl" w:eastAsia="es-ES_tradnl"/>
              </w:rPr>
            </w:pPr>
          </w:p>
        </w:tc>
        <w:tc>
          <w:tcPr>
            <w:tcW w:w="2105" w:type="dxa"/>
            <w:gridSpan w:val="2"/>
            <w:tcBorders>
              <w:top w:val="nil"/>
              <w:left w:val="nil"/>
              <w:bottom w:val="nil"/>
              <w:right w:val="nil"/>
            </w:tcBorders>
            <w:shd w:val="clear" w:color="auto" w:fill="auto"/>
            <w:noWrap/>
            <w:vAlign w:val="center"/>
            <w:hideMark/>
          </w:tcPr>
          <w:p w14:paraId="5C06CE23" w14:textId="77777777" w:rsidR="00DD6197" w:rsidRPr="006D4511" w:rsidRDefault="00DD6197" w:rsidP="007A74E1">
            <w:pPr>
              <w:keepNext/>
              <w:jc w:val="center"/>
              <w:rPr>
                <w:rFonts w:ascii="Arial" w:hAnsi="Arial" w:cs="Arial"/>
                <w:b/>
                <w:sz w:val="18"/>
                <w:szCs w:val="18"/>
                <w:lang w:val="es-ES_tradnl" w:eastAsia="es-ES_tradnl"/>
              </w:rPr>
            </w:pPr>
            <w:r w:rsidRPr="006D4511">
              <w:rPr>
                <w:rFonts w:ascii="Arial" w:hAnsi="Arial" w:cs="Arial"/>
                <w:b/>
                <w:sz w:val="18"/>
                <w:szCs w:val="18"/>
                <w:lang w:val="es-ES_tradnl" w:eastAsia="es-ES_tradnl"/>
              </w:rPr>
              <w:t>Importe (miles euros)</w:t>
            </w:r>
          </w:p>
        </w:tc>
      </w:tr>
      <w:tr w:rsidR="00DD6197" w:rsidRPr="006D4511" w14:paraId="1C7AB698" w14:textId="77777777" w:rsidTr="007A74E1">
        <w:trPr>
          <w:trHeight w:val="300"/>
        </w:trPr>
        <w:tc>
          <w:tcPr>
            <w:tcW w:w="6049" w:type="dxa"/>
            <w:tcBorders>
              <w:top w:val="nil"/>
              <w:left w:val="nil"/>
              <w:bottom w:val="nil"/>
              <w:right w:val="nil"/>
            </w:tcBorders>
            <w:shd w:val="clear" w:color="auto" w:fill="auto"/>
            <w:noWrap/>
            <w:vAlign w:val="bottom"/>
            <w:hideMark/>
          </w:tcPr>
          <w:p w14:paraId="1908F6E4" w14:textId="77777777" w:rsidR="00DD6197" w:rsidRPr="006D4511" w:rsidRDefault="00DD6197" w:rsidP="007A74E1">
            <w:pPr>
              <w:keepNext/>
              <w:rPr>
                <w:rFonts w:ascii="Arial" w:hAnsi="Arial" w:cs="Arial"/>
                <w:b/>
                <w:bCs/>
                <w:color w:val="365F91"/>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07F448D2" w14:textId="77777777" w:rsidR="00DD6197" w:rsidRPr="006D4511" w:rsidRDefault="00DD6197" w:rsidP="007A74E1">
            <w:pPr>
              <w:keepNext/>
              <w:rPr>
                <w:rFonts w:ascii="Arial" w:hAnsi="Arial" w:cs="Arial"/>
                <w:b/>
                <w:bCs/>
                <w:color w:val="365F91"/>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419A5869" w14:textId="77777777" w:rsidR="00DD6197" w:rsidRPr="006D4511" w:rsidRDefault="00DD6197" w:rsidP="007A74E1">
            <w:pPr>
              <w:keepNext/>
              <w:rPr>
                <w:rFonts w:ascii="Arial" w:hAnsi="Arial" w:cs="Arial"/>
                <w:b/>
                <w:bCs/>
                <w:color w:val="365F91"/>
                <w:sz w:val="18"/>
                <w:szCs w:val="18"/>
                <w:lang w:val="es-ES_tradnl" w:eastAsia="es-ES_tradnl"/>
              </w:rPr>
            </w:pPr>
          </w:p>
        </w:tc>
        <w:tc>
          <w:tcPr>
            <w:tcW w:w="191" w:type="dxa"/>
            <w:tcBorders>
              <w:top w:val="nil"/>
              <w:left w:val="nil"/>
              <w:bottom w:val="nil"/>
              <w:right w:val="nil"/>
            </w:tcBorders>
            <w:shd w:val="clear" w:color="auto" w:fill="auto"/>
            <w:noWrap/>
            <w:vAlign w:val="bottom"/>
            <w:hideMark/>
          </w:tcPr>
          <w:p w14:paraId="593E8FDB" w14:textId="77777777" w:rsidR="00DD6197" w:rsidRPr="006D4511" w:rsidRDefault="00DD6197" w:rsidP="007A74E1">
            <w:pPr>
              <w:keepNext/>
              <w:rPr>
                <w:rFonts w:ascii="Arial" w:hAnsi="Arial" w:cs="Arial"/>
                <w:b/>
                <w:bCs/>
                <w:color w:val="365F91"/>
                <w:sz w:val="18"/>
                <w:szCs w:val="18"/>
                <w:lang w:val="es-ES_tradnl" w:eastAsia="es-ES_tradnl"/>
              </w:rPr>
            </w:pPr>
          </w:p>
        </w:tc>
        <w:tc>
          <w:tcPr>
            <w:tcW w:w="971" w:type="dxa"/>
            <w:tcBorders>
              <w:top w:val="nil"/>
              <w:left w:val="nil"/>
              <w:bottom w:val="nil"/>
              <w:right w:val="nil"/>
            </w:tcBorders>
            <w:shd w:val="clear" w:color="auto" w:fill="auto"/>
            <w:noWrap/>
            <w:vAlign w:val="center"/>
            <w:hideMark/>
          </w:tcPr>
          <w:p w14:paraId="5021AAFC" w14:textId="77777777" w:rsidR="00DD6197" w:rsidRPr="006D4511" w:rsidRDefault="00DD6197" w:rsidP="007A74E1">
            <w:pPr>
              <w:keepNext/>
              <w:jc w:val="center"/>
              <w:rPr>
                <w:rFonts w:ascii="Arial" w:hAnsi="Arial" w:cs="Arial"/>
                <w:b/>
                <w:sz w:val="18"/>
                <w:szCs w:val="18"/>
                <w:lang w:val="es-ES_tradnl" w:eastAsia="es-ES_tradnl"/>
              </w:rPr>
            </w:pPr>
            <w:r w:rsidRPr="006D4511">
              <w:rPr>
                <w:rFonts w:ascii="Arial" w:hAnsi="Arial" w:cs="Arial"/>
                <w:b/>
                <w:sz w:val="18"/>
                <w:szCs w:val="18"/>
                <w:lang w:val="es-ES_tradnl" w:eastAsia="es-ES_tradnl"/>
              </w:rPr>
              <w:t xml:space="preserve">PERIODO </w:t>
            </w:r>
            <w:r>
              <w:rPr>
                <w:rFonts w:ascii="Arial" w:hAnsi="Arial" w:cs="Arial"/>
                <w:b/>
                <w:sz w:val="18"/>
                <w:szCs w:val="18"/>
                <w:lang w:val="es-ES_tradnl" w:eastAsia="es-ES_tradnl"/>
              </w:rPr>
              <w:t>ACTUAL 2018</w:t>
            </w:r>
          </w:p>
        </w:tc>
        <w:tc>
          <w:tcPr>
            <w:tcW w:w="1134" w:type="dxa"/>
            <w:tcBorders>
              <w:top w:val="nil"/>
              <w:left w:val="nil"/>
              <w:bottom w:val="nil"/>
              <w:right w:val="nil"/>
            </w:tcBorders>
            <w:shd w:val="clear" w:color="auto" w:fill="auto"/>
            <w:noWrap/>
            <w:vAlign w:val="center"/>
            <w:hideMark/>
          </w:tcPr>
          <w:p w14:paraId="36A96B00" w14:textId="77777777" w:rsidR="00DD6197" w:rsidRPr="006D4511" w:rsidRDefault="00DD6197" w:rsidP="007A74E1">
            <w:pPr>
              <w:keepNext/>
              <w:jc w:val="center"/>
              <w:rPr>
                <w:rFonts w:ascii="Arial" w:hAnsi="Arial" w:cs="Arial"/>
                <w:b/>
                <w:sz w:val="18"/>
                <w:szCs w:val="18"/>
                <w:lang w:val="es-ES_tradnl" w:eastAsia="es-ES_tradnl"/>
              </w:rPr>
            </w:pPr>
            <w:r>
              <w:rPr>
                <w:rFonts w:ascii="Arial" w:hAnsi="Arial" w:cs="Arial"/>
                <w:b/>
                <w:sz w:val="18"/>
                <w:szCs w:val="18"/>
                <w:lang w:val="es-ES_tradnl" w:eastAsia="es-ES_tradnl"/>
              </w:rPr>
              <w:t>PERIODO ANTERIOR 2017</w:t>
            </w:r>
          </w:p>
        </w:tc>
      </w:tr>
      <w:tr w:rsidR="00DD6197" w:rsidRPr="006D4511" w14:paraId="7BCEFFF6" w14:textId="77777777" w:rsidTr="007A74E1">
        <w:trPr>
          <w:trHeight w:val="300"/>
        </w:trPr>
        <w:tc>
          <w:tcPr>
            <w:tcW w:w="8727" w:type="dxa"/>
            <w:gridSpan w:val="6"/>
            <w:tcBorders>
              <w:top w:val="nil"/>
              <w:left w:val="nil"/>
              <w:bottom w:val="nil"/>
              <w:right w:val="nil"/>
            </w:tcBorders>
            <w:shd w:val="clear" w:color="auto" w:fill="auto"/>
            <w:noWrap/>
            <w:vAlign w:val="bottom"/>
            <w:hideMark/>
          </w:tcPr>
          <w:p w14:paraId="2ABBA5A9" w14:textId="77777777" w:rsidR="00DD6197" w:rsidRPr="006D4511" w:rsidRDefault="00DD6197" w:rsidP="007A74E1">
            <w:pPr>
              <w:keepNext/>
              <w:rPr>
                <w:rFonts w:ascii="Arial" w:hAnsi="Arial" w:cs="Arial"/>
                <w:sz w:val="18"/>
                <w:szCs w:val="18"/>
                <w:lang w:val="es-ES_tradnl" w:eastAsia="es-ES_tradnl"/>
              </w:rPr>
            </w:pPr>
            <w:r w:rsidRPr="006D4511">
              <w:rPr>
                <w:rFonts w:ascii="Arial" w:hAnsi="Arial" w:cs="Arial"/>
                <w:b/>
                <w:bCs/>
                <w:sz w:val="18"/>
                <w:szCs w:val="18"/>
                <w:lang w:val="es-ES_tradnl" w:eastAsia="es-ES_tradnl"/>
              </w:rPr>
              <w:t>DIRECTIVOS:</w:t>
            </w:r>
          </w:p>
        </w:tc>
      </w:tr>
      <w:tr w:rsidR="00DD6197" w:rsidRPr="006D4511" w14:paraId="75CF1463" w14:textId="77777777" w:rsidTr="007A74E1">
        <w:trPr>
          <w:trHeight w:val="300"/>
        </w:trPr>
        <w:tc>
          <w:tcPr>
            <w:tcW w:w="6622" w:type="dxa"/>
            <w:gridSpan w:val="4"/>
            <w:tcBorders>
              <w:top w:val="single" w:sz="4" w:space="0" w:color="auto"/>
              <w:left w:val="single" w:sz="4" w:space="0" w:color="auto"/>
              <w:bottom w:val="single" w:sz="4" w:space="0" w:color="auto"/>
              <w:right w:val="nil"/>
            </w:tcBorders>
            <w:shd w:val="clear" w:color="auto" w:fill="auto"/>
            <w:noWrap/>
            <w:vAlign w:val="bottom"/>
            <w:hideMark/>
          </w:tcPr>
          <w:p w14:paraId="4F3E69B7" w14:textId="77777777" w:rsidR="00DD6197" w:rsidRPr="00E003C1" w:rsidRDefault="00DD6197" w:rsidP="007A74E1">
            <w:pPr>
              <w:rPr>
                <w:rFonts w:ascii="Arial" w:hAnsi="Arial" w:cs="Arial"/>
                <w:b/>
                <w:bCs/>
                <w:sz w:val="18"/>
                <w:szCs w:val="18"/>
                <w:lang w:val="es-ES_tradnl" w:eastAsia="es-ES_tradnl"/>
              </w:rPr>
            </w:pPr>
            <w:proofErr w:type="gramStart"/>
            <w:r w:rsidRPr="00E003C1">
              <w:rPr>
                <w:rFonts w:ascii="Arial" w:hAnsi="Arial" w:cs="Arial"/>
                <w:b/>
                <w:bCs/>
                <w:sz w:val="18"/>
                <w:szCs w:val="18"/>
                <w:lang w:val="es-ES_tradnl" w:eastAsia="es-ES_tradnl"/>
              </w:rPr>
              <w:t>Total</w:t>
            </w:r>
            <w:proofErr w:type="gramEnd"/>
            <w:r w:rsidRPr="00E003C1">
              <w:rPr>
                <w:rFonts w:ascii="Arial" w:hAnsi="Arial" w:cs="Arial"/>
                <w:b/>
                <w:bCs/>
                <w:sz w:val="18"/>
                <w:szCs w:val="18"/>
                <w:lang w:val="es-ES_tradnl" w:eastAsia="es-ES_tradnl"/>
              </w:rPr>
              <w:t xml:space="preserve"> remuneraciones recibidas por los directivos</w:t>
            </w:r>
          </w:p>
        </w:tc>
        <w:tc>
          <w:tcPr>
            <w:tcW w:w="971" w:type="dxa"/>
            <w:tcBorders>
              <w:top w:val="single" w:sz="4" w:space="0" w:color="auto"/>
              <w:left w:val="nil"/>
              <w:bottom w:val="single" w:sz="4" w:space="0" w:color="auto"/>
              <w:right w:val="nil"/>
            </w:tcBorders>
            <w:shd w:val="clear" w:color="auto" w:fill="auto"/>
            <w:noWrap/>
            <w:vAlign w:val="bottom"/>
            <w:hideMark/>
          </w:tcPr>
          <w:p w14:paraId="286A7A4F" w14:textId="67171856" w:rsidR="00DD6197" w:rsidRPr="00E003C1" w:rsidRDefault="00E003C1" w:rsidP="007A74E1">
            <w:pPr>
              <w:jc w:val="center"/>
              <w:rPr>
                <w:rFonts w:ascii="Arial" w:hAnsi="Arial" w:cs="Arial"/>
                <w:b/>
                <w:bCs/>
                <w:sz w:val="18"/>
                <w:szCs w:val="18"/>
                <w:lang w:val="es-ES_tradnl" w:eastAsia="es-ES_tradnl"/>
              </w:rPr>
            </w:pPr>
            <w:r w:rsidRPr="00E003C1">
              <w:rPr>
                <w:rFonts w:ascii="Arial" w:hAnsi="Arial" w:cs="Arial"/>
                <w:b/>
                <w:bCs/>
                <w:sz w:val="18"/>
                <w:szCs w:val="18"/>
                <w:lang w:val="es-ES_tradnl" w:eastAsia="es-ES_tradnl"/>
              </w:rPr>
              <w:t>1.558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7E2E099" w14:textId="77777777" w:rsidR="00DD6197" w:rsidRPr="006D4511" w:rsidRDefault="00DD6197" w:rsidP="007A74E1">
            <w:pPr>
              <w:jc w:val="center"/>
              <w:rPr>
                <w:rFonts w:ascii="Arial" w:hAnsi="Arial" w:cs="Arial"/>
                <w:b/>
                <w:bCs/>
                <w:sz w:val="18"/>
                <w:szCs w:val="18"/>
                <w:lang w:val="es-ES_tradnl" w:eastAsia="es-ES_tradnl"/>
              </w:rPr>
            </w:pPr>
            <w:r w:rsidRPr="00E003C1">
              <w:rPr>
                <w:rFonts w:ascii="Arial" w:hAnsi="Arial" w:cs="Arial"/>
                <w:b/>
                <w:bCs/>
                <w:sz w:val="18"/>
                <w:szCs w:val="18"/>
                <w:lang w:val="es-ES_tradnl" w:eastAsia="es-ES_tradnl"/>
              </w:rPr>
              <w:t>1.210</w:t>
            </w:r>
          </w:p>
        </w:tc>
      </w:tr>
    </w:tbl>
    <w:p w14:paraId="244E0CC2" w14:textId="77777777" w:rsidR="00C65296" w:rsidRDefault="00C65296" w:rsidP="000021A5">
      <w:pPr>
        <w:autoSpaceDE w:val="0"/>
        <w:autoSpaceDN w:val="0"/>
        <w:adjustRightInd w:val="0"/>
        <w:spacing w:after="0" w:line="240" w:lineRule="auto"/>
        <w:jc w:val="both"/>
        <w:rPr>
          <w:rFonts w:ascii="Arial" w:eastAsia="Times New Roman" w:hAnsi="Arial" w:cs="Arial"/>
          <w:sz w:val="18"/>
          <w:szCs w:val="18"/>
          <w:lang w:eastAsia="es-ES"/>
        </w:rPr>
      </w:pPr>
    </w:p>
    <w:p w14:paraId="614C2C71" w14:textId="77777777" w:rsidR="00E300B4" w:rsidRDefault="00E300B4" w:rsidP="000021A5">
      <w:pPr>
        <w:autoSpaceDE w:val="0"/>
        <w:autoSpaceDN w:val="0"/>
        <w:adjustRightInd w:val="0"/>
        <w:spacing w:after="0" w:line="240" w:lineRule="auto"/>
        <w:jc w:val="both"/>
        <w:rPr>
          <w:rFonts w:ascii="Arial" w:eastAsia="Times New Roman" w:hAnsi="Arial" w:cs="Arial"/>
          <w:sz w:val="18"/>
          <w:szCs w:val="18"/>
          <w:lang w:eastAsia="es-ES"/>
        </w:rPr>
      </w:pPr>
    </w:p>
    <w:p w14:paraId="4251CD35" w14:textId="792AA7FE" w:rsidR="00E300B4" w:rsidRDefault="00E300B4" w:rsidP="00E300B4">
      <w:pPr>
        <w:ind w:left="426"/>
        <w:jc w:val="both"/>
        <w:rPr>
          <w:rFonts w:ascii="Arial" w:hAnsi="Arial" w:cs="Arial"/>
          <w:sz w:val="18"/>
          <w:szCs w:val="18"/>
        </w:rPr>
      </w:pPr>
      <w:r w:rsidRPr="00E300B4">
        <w:rPr>
          <w:rFonts w:ascii="Arial" w:hAnsi="Arial" w:cs="Arial"/>
          <w:sz w:val="18"/>
          <w:szCs w:val="18"/>
        </w:rPr>
        <w:t xml:space="preserve">Indicar que el incremento </w:t>
      </w:r>
      <w:r>
        <w:rPr>
          <w:rFonts w:ascii="Arial" w:hAnsi="Arial" w:cs="Arial"/>
          <w:sz w:val="18"/>
          <w:szCs w:val="18"/>
        </w:rPr>
        <w:t>en las dietas corresponde a la incorporación de un consejero adicional respecto al mismo periodo del ejercicio anterior.</w:t>
      </w:r>
      <w:r w:rsidR="00215575">
        <w:rPr>
          <w:rFonts w:ascii="Arial" w:hAnsi="Arial" w:cs="Arial"/>
          <w:sz w:val="18"/>
          <w:szCs w:val="18"/>
        </w:rPr>
        <w:t xml:space="preserve"> </w:t>
      </w:r>
    </w:p>
    <w:p w14:paraId="747BA658" w14:textId="4775E4B5" w:rsidR="00215575" w:rsidRPr="00E300B4" w:rsidRDefault="00215575" w:rsidP="00E300B4">
      <w:pPr>
        <w:ind w:left="426"/>
        <w:jc w:val="both"/>
        <w:rPr>
          <w:rFonts w:ascii="Arial" w:hAnsi="Arial" w:cs="Arial"/>
          <w:sz w:val="18"/>
          <w:szCs w:val="18"/>
        </w:rPr>
      </w:pPr>
      <w:r>
        <w:rPr>
          <w:rFonts w:ascii="Arial" w:hAnsi="Arial" w:cs="Arial"/>
          <w:sz w:val="18"/>
          <w:szCs w:val="18"/>
        </w:rPr>
        <w:t>Adicionalmente el epígrafe “Total remuneraciones recibidas por los directivos” recoge un importe de 419 miles de euros correspondiente a la salida del Grupo de 2 directivos. Sin tener en cuenta este efecto, el importe total de remuneraciones habría disminuido en un 6%</w:t>
      </w:r>
      <w:r w:rsidR="00187D41">
        <w:rPr>
          <w:rFonts w:ascii="Arial" w:hAnsi="Arial" w:cs="Arial"/>
          <w:sz w:val="18"/>
          <w:szCs w:val="18"/>
        </w:rPr>
        <w:t xml:space="preserve"> aproximadamente</w:t>
      </w:r>
      <w:r>
        <w:rPr>
          <w:rFonts w:ascii="Arial" w:hAnsi="Arial" w:cs="Arial"/>
          <w:sz w:val="18"/>
          <w:szCs w:val="18"/>
        </w:rPr>
        <w:t xml:space="preserve"> respecto al mismo periodo del ejercicio anterior.</w:t>
      </w:r>
      <w:bookmarkStart w:id="1" w:name="_GoBack"/>
      <w:bookmarkEnd w:id="1"/>
    </w:p>
    <w:sectPr w:rsidR="00215575" w:rsidRPr="00E300B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7DF45" w14:textId="77777777" w:rsidR="008D4D48" w:rsidRDefault="008D4D48" w:rsidP="0077134F">
      <w:pPr>
        <w:spacing w:after="0" w:line="240" w:lineRule="auto"/>
      </w:pPr>
      <w:r>
        <w:separator/>
      </w:r>
    </w:p>
  </w:endnote>
  <w:endnote w:type="continuationSeparator" w:id="0">
    <w:p w14:paraId="5B262E8A" w14:textId="77777777" w:rsidR="008D4D48" w:rsidRDefault="008D4D48" w:rsidP="00771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UnicodeMS">
    <w:altName w:val="MS Mincho"/>
    <w:panose1 w:val="00000000000000000000"/>
    <w:charset w:val="80"/>
    <w:family w:val="auto"/>
    <w:notTrueType/>
    <w:pitch w:val="default"/>
    <w:sig w:usb0="00000003" w:usb1="08070000" w:usb2="00000010" w:usb3="00000000" w:csb0="0002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6755757"/>
      <w:docPartObj>
        <w:docPartGallery w:val="Page Numbers (Bottom of Page)"/>
        <w:docPartUnique/>
      </w:docPartObj>
    </w:sdtPr>
    <w:sdtEndPr/>
    <w:sdtContent>
      <w:p w14:paraId="0E4DAA6B" w14:textId="77777777" w:rsidR="0077134F" w:rsidRDefault="0077134F">
        <w:pPr>
          <w:pStyle w:val="Piedepgina"/>
          <w:jc w:val="right"/>
        </w:pPr>
        <w:r>
          <w:fldChar w:fldCharType="begin"/>
        </w:r>
        <w:r>
          <w:instrText>PAGE   \* MERGEFORMAT</w:instrText>
        </w:r>
        <w:r>
          <w:fldChar w:fldCharType="separate"/>
        </w:r>
        <w:r>
          <w:t>2</w:t>
        </w:r>
        <w:r>
          <w:fldChar w:fldCharType="end"/>
        </w:r>
      </w:p>
    </w:sdtContent>
  </w:sdt>
  <w:p w14:paraId="548F756E" w14:textId="77777777" w:rsidR="0077134F" w:rsidRDefault="007713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90A6D" w14:textId="77777777" w:rsidR="008D4D48" w:rsidRDefault="008D4D48" w:rsidP="0077134F">
      <w:pPr>
        <w:spacing w:after="0" w:line="240" w:lineRule="auto"/>
      </w:pPr>
      <w:r>
        <w:separator/>
      </w:r>
    </w:p>
  </w:footnote>
  <w:footnote w:type="continuationSeparator" w:id="0">
    <w:p w14:paraId="3AFC8D83" w14:textId="77777777" w:rsidR="008D4D48" w:rsidRDefault="008D4D48" w:rsidP="007713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4964DCFE"/>
    <w:lvl w:ilvl="0">
      <w:start w:val="1"/>
      <w:numFmt w:val="decimal"/>
      <w:pStyle w:val="Listaconnmeros2"/>
      <w:lvlText w:val="%1."/>
      <w:lvlJc w:val="left"/>
      <w:pPr>
        <w:tabs>
          <w:tab w:val="num" w:pos="643"/>
        </w:tabs>
        <w:ind w:left="643" w:hanging="360"/>
      </w:pPr>
    </w:lvl>
  </w:abstractNum>
  <w:abstractNum w:abstractNumId="1" w15:restartNumberingAfterBreak="0">
    <w:nsid w:val="00D46BD6"/>
    <w:multiLevelType w:val="hybridMultilevel"/>
    <w:tmpl w:val="1FF44A3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08374C24"/>
    <w:multiLevelType w:val="hybridMultilevel"/>
    <w:tmpl w:val="B1409022"/>
    <w:lvl w:ilvl="0" w:tplc="702CB97C">
      <w:numFmt w:val="bullet"/>
      <w:lvlText w:val="-"/>
      <w:lvlJc w:val="left"/>
      <w:pPr>
        <w:ind w:left="720" w:hanging="360"/>
      </w:pPr>
      <w:rPr>
        <w:rFonts w:ascii="Arial Narrow" w:eastAsia="ArialUnicodeMS"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7427FB7"/>
    <w:multiLevelType w:val="hybridMultilevel"/>
    <w:tmpl w:val="DE5E4844"/>
    <w:lvl w:ilvl="0" w:tplc="702CB97C">
      <w:numFmt w:val="bullet"/>
      <w:lvlText w:val="-"/>
      <w:lvlJc w:val="left"/>
      <w:pPr>
        <w:ind w:left="720" w:hanging="360"/>
      </w:pPr>
      <w:rPr>
        <w:rFonts w:ascii="Arial Narrow" w:eastAsia="ArialUnicodeMS"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BC92FB9"/>
    <w:multiLevelType w:val="hybridMultilevel"/>
    <w:tmpl w:val="287EDAA8"/>
    <w:lvl w:ilvl="0" w:tplc="702CB97C">
      <w:numFmt w:val="bullet"/>
      <w:lvlText w:val="-"/>
      <w:lvlJc w:val="left"/>
      <w:pPr>
        <w:ind w:left="1080" w:hanging="360"/>
      </w:pPr>
      <w:rPr>
        <w:rFonts w:ascii="Arial Narrow" w:eastAsia="ArialUnicodeMS" w:hAnsi="Arial Narrow"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200D3812"/>
    <w:multiLevelType w:val="hybridMultilevel"/>
    <w:tmpl w:val="A168B812"/>
    <w:lvl w:ilvl="0" w:tplc="702CB97C">
      <w:numFmt w:val="bullet"/>
      <w:lvlText w:val="-"/>
      <w:lvlJc w:val="left"/>
      <w:pPr>
        <w:ind w:left="1146" w:hanging="360"/>
      </w:pPr>
      <w:rPr>
        <w:rFonts w:ascii="Arial Narrow" w:eastAsia="ArialUnicodeMS" w:hAnsi="Arial Narrow"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27743768"/>
    <w:multiLevelType w:val="hybridMultilevel"/>
    <w:tmpl w:val="A7AE28F2"/>
    <w:lvl w:ilvl="0" w:tplc="702CB97C">
      <w:numFmt w:val="bullet"/>
      <w:lvlText w:val="-"/>
      <w:lvlJc w:val="left"/>
      <w:pPr>
        <w:ind w:left="1146" w:hanging="360"/>
      </w:pPr>
      <w:rPr>
        <w:rFonts w:ascii="Arial Narrow" w:eastAsia="ArialUnicodeMS" w:hAnsi="Arial Narrow"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594C0E0D"/>
    <w:multiLevelType w:val="hybridMultilevel"/>
    <w:tmpl w:val="242C2D2C"/>
    <w:lvl w:ilvl="0" w:tplc="39B2B76C">
      <w:start w:val="1"/>
      <w:numFmt w:val="upperRoman"/>
      <w:lvlText w:val="%1."/>
      <w:lvlJc w:val="left"/>
      <w:pPr>
        <w:ind w:left="720" w:hanging="72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8" w15:restartNumberingAfterBreak="0">
    <w:nsid w:val="5F952634"/>
    <w:multiLevelType w:val="hybridMultilevel"/>
    <w:tmpl w:val="A2C29DEA"/>
    <w:lvl w:ilvl="0" w:tplc="702CB97C">
      <w:numFmt w:val="bullet"/>
      <w:lvlText w:val="-"/>
      <w:lvlJc w:val="left"/>
      <w:pPr>
        <w:ind w:left="720" w:hanging="360"/>
      </w:pPr>
      <w:rPr>
        <w:rFonts w:ascii="Arial Narrow" w:eastAsia="ArialUnicodeMS"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C543AE"/>
    <w:multiLevelType w:val="hybridMultilevel"/>
    <w:tmpl w:val="2D36DEA8"/>
    <w:lvl w:ilvl="0" w:tplc="702CB97C">
      <w:numFmt w:val="bullet"/>
      <w:lvlText w:val="-"/>
      <w:lvlJc w:val="left"/>
      <w:pPr>
        <w:ind w:left="1068" w:hanging="360"/>
      </w:pPr>
      <w:rPr>
        <w:rFonts w:ascii="Arial Narrow" w:eastAsia="ArialUnicodeMS"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6E05028C"/>
    <w:multiLevelType w:val="hybridMultilevel"/>
    <w:tmpl w:val="B994FE86"/>
    <w:lvl w:ilvl="0" w:tplc="702CB97C">
      <w:numFmt w:val="bullet"/>
      <w:lvlText w:val="-"/>
      <w:lvlJc w:val="left"/>
      <w:pPr>
        <w:ind w:left="1146" w:hanging="360"/>
      </w:pPr>
      <w:rPr>
        <w:rFonts w:ascii="Arial Narrow" w:eastAsia="ArialUnicodeMS" w:hAnsi="Arial Narrow"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75127CE8"/>
    <w:multiLevelType w:val="hybridMultilevel"/>
    <w:tmpl w:val="5838BF8E"/>
    <w:lvl w:ilvl="0" w:tplc="702CB97C">
      <w:numFmt w:val="bullet"/>
      <w:lvlText w:val="-"/>
      <w:lvlJc w:val="left"/>
      <w:pPr>
        <w:ind w:left="1428" w:hanging="360"/>
      </w:pPr>
      <w:rPr>
        <w:rFonts w:ascii="Arial Narrow" w:eastAsia="ArialUnicodeMS" w:hAnsi="Arial Narrow"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4"/>
  </w:num>
  <w:num w:numId="2">
    <w:abstractNumId w:val="8"/>
  </w:num>
  <w:num w:numId="3">
    <w:abstractNumId w:val="1"/>
  </w:num>
  <w:num w:numId="4">
    <w:abstractNumId w:val="7"/>
  </w:num>
  <w:num w:numId="5">
    <w:abstractNumId w:val="0"/>
  </w:num>
  <w:num w:numId="6">
    <w:abstractNumId w:val="10"/>
  </w:num>
  <w:num w:numId="7">
    <w:abstractNumId w:val="5"/>
  </w:num>
  <w:num w:numId="8">
    <w:abstractNumId w:val="6"/>
  </w:num>
  <w:num w:numId="9">
    <w:abstractNumId w:val="3"/>
  </w:num>
  <w:num w:numId="10">
    <w:abstractNumId w:val="9"/>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452"/>
    <w:rsid w:val="00001E78"/>
    <w:rsid w:val="000021A5"/>
    <w:rsid w:val="00015FB9"/>
    <w:rsid w:val="0004374C"/>
    <w:rsid w:val="00050A0E"/>
    <w:rsid w:val="00082669"/>
    <w:rsid w:val="000C00B0"/>
    <w:rsid w:val="0014094C"/>
    <w:rsid w:val="001624EA"/>
    <w:rsid w:val="00187D41"/>
    <w:rsid w:val="001D4355"/>
    <w:rsid w:val="001D710D"/>
    <w:rsid w:val="001F7AD7"/>
    <w:rsid w:val="00215575"/>
    <w:rsid w:val="002704AA"/>
    <w:rsid w:val="002C1178"/>
    <w:rsid w:val="002C7392"/>
    <w:rsid w:val="00301D09"/>
    <w:rsid w:val="00311599"/>
    <w:rsid w:val="00357E78"/>
    <w:rsid w:val="003965A6"/>
    <w:rsid w:val="003A4F1C"/>
    <w:rsid w:val="003C3452"/>
    <w:rsid w:val="003D4248"/>
    <w:rsid w:val="003E33CF"/>
    <w:rsid w:val="003E6201"/>
    <w:rsid w:val="00412D37"/>
    <w:rsid w:val="0042048D"/>
    <w:rsid w:val="004416C1"/>
    <w:rsid w:val="00446FA6"/>
    <w:rsid w:val="004548D7"/>
    <w:rsid w:val="004A44D1"/>
    <w:rsid w:val="004A719F"/>
    <w:rsid w:val="004C0D8E"/>
    <w:rsid w:val="00517746"/>
    <w:rsid w:val="00534245"/>
    <w:rsid w:val="005621EA"/>
    <w:rsid w:val="00567969"/>
    <w:rsid w:val="005F182F"/>
    <w:rsid w:val="00605BEA"/>
    <w:rsid w:val="00625E97"/>
    <w:rsid w:val="006A4D57"/>
    <w:rsid w:val="006E3406"/>
    <w:rsid w:val="006F47F1"/>
    <w:rsid w:val="007045BD"/>
    <w:rsid w:val="0077134F"/>
    <w:rsid w:val="007713D4"/>
    <w:rsid w:val="00776858"/>
    <w:rsid w:val="00792374"/>
    <w:rsid w:val="007A41E2"/>
    <w:rsid w:val="00843982"/>
    <w:rsid w:val="0085056D"/>
    <w:rsid w:val="00854FE5"/>
    <w:rsid w:val="008C1711"/>
    <w:rsid w:val="008C5EC3"/>
    <w:rsid w:val="008D4D48"/>
    <w:rsid w:val="008F1C85"/>
    <w:rsid w:val="008F72D5"/>
    <w:rsid w:val="0090062F"/>
    <w:rsid w:val="009176E3"/>
    <w:rsid w:val="00947AB2"/>
    <w:rsid w:val="0095455C"/>
    <w:rsid w:val="00980FD9"/>
    <w:rsid w:val="009B3D24"/>
    <w:rsid w:val="00A068D7"/>
    <w:rsid w:val="00A24D94"/>
    <w:rsid w:val="00A6168C"/>
    <w:rsid w:val="00AA0B92"/>
    <w:rsid w:val="00AA3249"/>
    <w:rsid w:val="00AB3A30"/>
    <w:rsid w:val="00AC1A1D"/>
    <w:rsid w:val="00AC3353"/>
    <w:rsid w:val="00AC3B3A"/>
    <w:rsid w:val="00AE6FB9"/>
    <w:rsid w:val="00B03FCB"/>
    <w:rsid w:val="00B26BAD"/>
    <w:rsid w:val="00B27E8F"/>
    <w:rsid w:val="00B4222C"/>
    <w:rsid w:val="00B652DC"/>
    <w:rsid w:val="00BC0EE9"/>
    <w:rsid w:val="00BD366B"/>
    <w:rsid w:val="00C048CF"/>
    <w:rsid w:val="00C33EB4"/>
    <w:rsid w:val="00C469ED"/>
    <w:rsid w:val="00C63D9E"/>
    <w:rsid w:val="00C65296"/>
    <w:rsid w:val="00C67A47"/>
    <w:rsid w:val="00CB7763"/>
    <w:rsid w:val="00CC4939"/>
    <w:rsid w:val="00CC5EA7"/>
    <w:rsid w:val="00D404C8"/>
    <w:rsid w:val="00D91119"/>
    <w:rsid w:val="00D96C4E"/>
    <w:rsid w:val="00DC0610"/>
    <w:rsid w:val="00DC0DB6"/>
    <w:rsid w:val="00DD6197"/>
    <w:rsid w:val="00E003C1"/>
    <w:rsid w:val="00E0051A"/>
    <w:rsid w:val="00E16C8B"/>
    <w:rsid w:val="00E2157E"/>
    <w:rsid w:val="00E300B4"/>
    <w:rsid w:val="00E4248F"/>
    <w:rsid w:val="00E95A91"/>
    <w:rsid w:val="00ED1168"/>
    <w:rsid w:val="00EE1387"/>
    <w:rsid w:val="00F2156C"/>
    <w:rsid w:val="00F34A7A"/>
    <w:rsid w:val="00F562D3"/>
    <w:rsid w:val="00F750D1"/>
    <w:rsid w:val="00FA6C05"/>
    <w:rsid w:val="00FF4242"/>
    <w:rsid w:val="00FF51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2773"/>
  <w15:chartTrackingRefBased/>
  <w15:docId w15:val="{407D48DB-9234-46FF-A779-E6B8A1403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452"/>
    <w:pPr>
      <w:spacing w:after="200" w:line="276" w:lineRule="auto"/>
    </w:pPr>
  </w:style>
  <w:style w:type="paragraph" w:styleId="Ttulo5">
    <w:name w:val="heading 5"/>
    <w:basedOn w:val="Normal"/>
    <w:next w:val="Normal"/>
    <w:link w:val="Ttulo5Car"/>
    <w:uiPriority w:val="9"/>
    <w:semiHidden/>
    <w:unhideWhenUsed/>
    <w:qFormat/>
    <w:rsid w:val="00843982"/>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Ttulo5"/>
    <w:next w:val="Listaconnmeros"/>
    <w:link w:val="Ttulo6Car"/>
    <w:qFormat/>
    <w:rsid w:val="00843982"/>
    <w:pPr>
      <w:spacing w:before="120" w:after="240" w:line="240" w:lineRule="auto"/>
      <w:ind w:left="284" w:right="2268"/>
      <w:outlineLvl w:val="5"/>
    </w:pPr>
    <w:rPr>
      <w:rFonts w:ascii="Arial" w:eastAsia="Times New Roman" w:hAnsi="Arial" w:cs="Times New Roman"/>
      <w:i/>
      <w:color w:val="auto"/>
      <w:kern w:val="28"/>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843982"/>
    <w:rPr>
      <w:rFonts w:ascii="Arial" w:eastAsia="Times New Roman" w:hAnsi="Arial" w:cs="Times New Roman"/>
      <w:i/>
      <w:kern w:val="28"/>
      <w:sz w:val="18"/>
      <w:szCs w:val="20"/>
    </w:rPr>
  </w:style>
  <w:style w:type="character" w:customStyle="1" w:styleId="Ttulo5Car">
    <w:name w:val="Título 5 Car"/>
    <w:basedOn w:val="Fuentedeprrafopredeter"/>
    <w:link w:val="Ttulo5"/>
    <w:uiPriority w:val="9"/>
    <w:semiHidden/>
    <w:rsid w:val="00843982"/>
    <w:rPr>
      <w:rFonts w:asciiTheme="majorHAnsi" w:eastAsiaTheme="majorEastAsia" w:hAnsiTheme="majorHAnsi" w:cstheme="majorBidi"/>
      <w:color w:val="2F5496" w:themeColor="accent1" w:themeShade="BF"/>
    </w:rPr>
  </w:style>
  <w:style w:type="paragraph" w:styleId="Listaconnmeros">
    <w:name w:val="List Number"/>
    <w:aliases w:val="Identado 1, Car, Car Car Car Car,Car,Car Car Car Car, Car Car,Car Car"/>
    <w:basedOn w:val="Normal"/>
    <w:link w:val="ListaconnmerosCar"/>
    <w:unhideWhenUsed/>
    <w:rsid w:val="00843982"/>
    <w:pPr>
      <w:contextualSpacing/>
    </w:pPr>
  </w:style>
  <w:style w:type="paragraph" w:styleId="Prrafodelista">
    <w:name w:val="List Paragraph"/>
    <w:basedOn w:val="Normal"/>
    <w:uiPriority w:val="34"/>
    <w:qFormat/>
    <w:rsid w:val="00843982"/>
    <w:pPr>
      <w:ind w:left="720"/>
      <w:contextualSpacing/>
    </w:pPr>
  </w:style>
  <w:style w:type="paragraph" w:styleId="Listaconnmeros2">
    <w:name w:val="List Number 2"/>
    <w:basedOn w:val="Normal"/>
    <w:uiPriority w:val="99"/>
    <w:semiHidden/>
    <w:unhideWhenUsed/>
    <w:rsid w:val="00B26BAD"/>
    <w:pPr>
      <w:numPr>
        <w:numId w:val="5"/>
      </w:numPr>
      <w:contextualSpacing/>
    </w:pPr>
  </w:style>
  <w:style w:type="character" w:customStyle="1" w:styleId="ListaconnmerosCar">
    <w:name w:val="Lista con números Car"/>
    <w:aliases w:val="Identado 1 Car, Car Car1, Car Car Car Car Car,Car Car1,Car Car Car Car Car, Car Car Car,Car Car Car"/>
    <w:link w:val="Listaconnmeros"/>
    <w:rsid w:val="00B26BAD"/>
  </w:style>
  <w:style w:type="paragraph" w:styleId="Encabezado">
    <w:name w:val="header"/>
    <w:basedOn w:val="Normal"/>
    <w:link w:val="EncabezadoCar"/>
    <w:uiPriority w:val="99"/>
    <w:unhideWhenUsed/>
    <w:rsid w:val="0077134F"/>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77134F"/>
  </w:style>
  <w:style w:type="paragraph" w:styleId="Piedepgina">
    <w:name w:val="footer"/>
    <w:basedOn w:val="Normal"/>
    <w:link w:val="PiedepginaCar"/>
    <w:uiPriority w:val="99"/>
    <w:unhideWhenUsed/>
    <w:rsid w:val="0077134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7134F"/>
  </w:style>
  <w:style w:type="paragraph" w:styleId="Textodeglobo">
    <w:name w:val="Balloon Text"/>
    <w:basedOn w:val="Normal"/>
    <w:link w:val="TextodegloboCar"/>
    <w:uiPriority w:val="99"/>
    <w:semiHidden/>
    <w:unhideWhenUsed/>
    <w:rsid w:val="001624E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624EA"/>
    <w:rPr>
      <w:rFonts w:ascii="Segoe UI" w:hAnsi="Segoe UI" w:cs="Segoe UI"/>
      <w:sz w:val="18"/>
      <w:szCs w:val="18"/>
    </w:rPr>
  </w:style>
  <w:style w:type="character" w:styleId="Refdecomentario">
    <w:name w:val="annotation reference"/>
    <w:basedOn w:val="Fuentedeprrafopredeter"/>
    <w:uiPriority w:val="99"/>
    <w:semiHidden/>
    <w:unhideWhenUsed/>
    <w:rsid w:val="004C0D8E"/>
    <w:rPr>
      <w:sz w:val="16"/>
      <w:szCs w:val="16"/>
    </w:rPr>
  </w:style>
  <w:style w:type="paragraph" w:styleId="Textocomentario">
    <w:name w:val="annotation text"/>
    <w:basedOn w:val="Normal"/>
    <w:link w:val="TextocomentarioCar"/>
    <w:uiPriority w:val="99"/>
    <w:semiHidden/>
    <w:unhideWhenUsed/>
    <w:rsid w:val="004C0D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D8E"/>
    <w:rPr>
      <w:sz w:val="20"/>
      <w:szCs w:val="20"/>
    </w:rPr>
  </w:style>
  <w:style w:type="paragraph" w:styleId="Asuntodelcomentario">
    <w:name w:val="annotation subject"/>
    <w:basedOn w:val="Textocomentario"/>
    <w:next w:val="Textocomentario"/>
    <w:link w:val="AsuntodelcomentarioCar"/>
    <w:uiPriority w:val="99"/>
    <w:semiHidden/>
    <w:unhideWhenUsed/>
    <w:rsid w:val="004C0D8E"/>
    <w:rPr>
      <w:b/>
      <w:bCs/>
    </w:rPr>
  </w:style>
  <w:style w:type="character" w:customStyle="1" w:styleId="AsuntodelcomentarioCar">
    <w:name w:val="Asunto del comentario Car"/>
    <w:basedOn w:val="TextocomentarioCar"/>
    <w:link w:val="Asuntodelcomentario"/>
    <w:uiPriority w:val="99"/>
    <w:semiHidden/>
    <w:rsid w:val="004C0D8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544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4619</Words>
  <Characters>25407</Characters>
  <Application>Microsoft Office Word</Application>
  <DocSecurity>0</DocSecurity>
  <Lines>211</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Fuentes Fernandez</dc:creator>
  <cp:keywords/>
  <dc:description/>
  <cp:lastModifiedBy>Gorka Fuentes Fernandez</cp:lastModifiedBy>
  <cp:revision>20</cp:revision>
  <cp:lastPrinted>2018-09-18T18:26:00Z</cp:lastPrinted>
  <dcterms:created xsi:type="dcterms:W3CDTF">2018-09-19T12:00:00Z</dcterms:created>
  <dcterms:modified xsi:type="dcterms:W3CDTF">2018-09-24T14:16:00Z</dcterms:modified>
</cp:coreProperties>
</file>