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D3" w:rsidRPr="00043CD3" w:rsidRDefault="00043CD3" w:rsidP="00043CD3">
      <w:pPr>
        <w:spacing w:after="0" w:line="240" w:lineRule="auto"/>
        <w:jc w:val="both"/>
      </w:pPr>
    </w:p>
    <w:p w:rsidR="00810F03" w:rsidRPr="008D0A23" w:rsidRDefault="002167CA" w:rsidP="00810F03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/>
          <w:color w:val="000000" w:themeColor="text1"/>
        </w:rPr>
      </w:pPr>
      <w:r w:rsidRPr="008D0A23">
        <w:rPr>
          <w:rFonts w:ascii="Bankinter Sans" w:eastAsia="Times New Roman" w:hAnsi="Bankinter Sans"/>
        </w:rPr>
        <w:t>Excluyendo los efectos de la adquisición de EVO Banco</w:t>
      </w:r>
      <w:r w:rsidR="00810F03" w:rsidRPr="008D0A23">
        <w:rPr>
          <w:rFonts w:ascii="Bankinter Sans" w:hAnsi="Bankinter Sans" w:cs="Bankinter"/>
          <w:color w:val="000000" w:themeColor="text1"/>
        </w:rPr>
        <w:t xml:space="preserve"> </w:t>
      </w:r>
      <w:r w:rsidRPr="008D0A23">
        <w:rPr>
          <w:rFonts w:ascii="Bankinter Sans" w:hAnsi="Bankinter Sans" w:cs="Bankinter"/>
          <w:color w:val="000000" w:themeColor="text1"/>
        </w:rPr>
        <w:t>y</w:t>
      </w:r>
      <w:r w:rsidR="00810F03" w:rsidRPr="008D0A23">
        <w:rPr>
          <w:rFonts w:ascii="Bankinter Sans" w:hAnsi="Bankinter Sans" w:cs="Bankinter"/>
          <w:color w:val="000000" w:themeColor="text1"/>
        </w:rPr>
        <w:t xml:space="preserve"> el resto de sus cifras integradas desde el 31 de mayo, el beneficio neto crecería un 2,1%.</w:t>
      </w:r>
    </w:p>
    <w:p w:rsidR="004267B3" w:rsidRPr="008D0A23" w:rsidRDefault="004267B3" w:rsidP="00810F03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/>
          <w:color w:val="000000" w:themeColor="text1"/>
        </w:rPr>
      </w:pPr>
      <w:r w:rsidRPr="008D0A23">
        <w:rPr>
          <w:rFonts w:ascii="Bankinter Sans" w:hAnsi="Bankinter Sans"/>
          <w:color w:val="000000" w:themeColor="text1"/>
        </w:rPr>
        <w:t>Es destacable los buenos ratios de eficiencia de la actividad bancaria que</w:t>
      </w:r>
      <w:r w:rsidR="008D0A23" w:rsidRPr="008D0A23">
        <w:rPr>
          <w:rFonts w:ascii="Bankinter Sans" w:hAnsi="Bankinter Sans"/>
          <w:color w:val="000000" w:themeColor="text1"/>
        </w:rPr>
        <w:t xml:space="preserve">, excluyendo EVO banco, se sitúa </w:t>
      </w:r>
      <w:r w:rsidR="008D0A23" w:rsidRPr="008D0A23">
        <w:rPr>
          <w:rFonts w:ascii="Bankinter Sans" w:eastAsiaTheme="minorHAnsi" w:hAnsi="Bankinter Sans" w:cs="Tms Rmn"/>
          <w:color w:val="000000" w:themeColor="text1"/>
          <w:lang w:eastAsia="en-US"/>
        </w:rPr>
        <w:t>en el 46,7%, uno d</w:t>
      </w:r>
      <w:r w:rsidR="008D0A23">
        <w:rPr>
          <w:rFonts w:ascii="Bankinter Sans" w:eastAsiaTheme="minorHAnsi" w:hAnsi="Bankinter Sans" w:cs="Tms Rmn"/>
          <w:color w:val="000000" w:themeColor="text1"/>
          <w:lang w:eastAsia="en-US"/>
        </w:rPr>
        <w:t>e</w:t>
      </w:r>
      <w:r w:rsidR="008D0A23" w:rsidRPr="008D0A23">
        <w:rPr>
          <w:rFonts w:ascii="Bankinter Sans" w:eastAsiaTheme="minorHAnsi" w:hAnsi="Bankinter Sans" w:cs="Tms Rmn"/>
          <w:color w:val="000000" w:themeColor="text1"/>
          <w:lang w:eastAsia="en-US"/>
        </w:rPr>
        <w:t xml:space="preserve"> los mejores datos de la banca en España.</w:t>
      </w:r>
    </w:p>
    <w:p w:rsidR="00DB1EDF" w:rsidRPr="008D0A23" w:rsidRDefault="001A3563" w:rsidP="00810F03">
      <w:pPr>
        <w:pStyle w:val="Textocomentario"/>
        <w:jc w:val="both"/>
        <w:rPr>
          <w:rFonts w:ascii="Bankinter Sans" w:hAnsi="Bankinter Sans"/>
          <w:color w:val="000000" w:themeColor="text1"/>
          <w:sz w:val="22"/>
          <w:szCs w:val="22"/>
        </w:rPr>
      </w:pPr>
      <w:r w:rsidRPr="008D0A23">
        <w:rPr>
          <w:rFonts w:ascii="Bankinter Sans" w:hAnsi="Bankinter Sans"/>
          <w:color w:val="000000" w:themeColor="text1"/>
          <w:sz w:val="22"/>
          <w:szCs w:val="22"/>
        </w:rPr>
        <w:t xml:space="preserve">Bankinter </w:t>
      </w:r>
      <w:r w:rsidR="00DB1EDF" w:rsidRPr="008D0A23">
        <w:rPr>
          <w:rFonts w:ascii="Bankinter Sans" w:hAnsi="Bankinter Sans"/>
          <w:color w:val="000000" w:themeColor="text1"/>
          <w:sz w:val="22"/>
          <w:szCs w:val="22"/>
        </w:rPr>
        <w:t xml:space="preserve">sigue creciendo a buen ritmo en su cartera de inversión crediticia, un 8,4% más, </w:t>
      </w:r>
      <w:r w:rsidR="003025B4" w:rsidRPr="008D0A23">
        <w:rPr>
          <w:rFonts w:ascii="Bankinter Sans" w:hAnsi="Bankinter Sans"/>
          <w:color w:val="000000" w:themeColor="text1"/>
          <w:sz w:val="22"/>
          <w:szCs w:val="22"/>
        </w:rPr>
        <w:t>y</w:t>
      </w:r>
      <w:r w:rsidR="00DB1EDF" w:rsidRPr="008D0A23">
        <w:rPr>
          <w:rFonts w:ascii="Bankinter Sans" w:hAnsi="Bankinter Sans"/>
          <w:color w:val="000000" w:themeColor="text1"/>
          <w:sz w:val="22"/>
          <w:szCs w:val="22"/>
        </w:rPr>
        <w:t xml:space="preserve"> en la captación de recursos minoristas</w:t>
      </w:r>
      <w:r w:rsidR="003025B4" w:rsidRPr="008D0A23">
        <w:rPr>
          <w:rFonts w:ascii="Bankinter Sans" w:hAnsi="Bankinter Sans"/>
          <w:color w:val="000000" w:themeColor="text1"/>
          <w:sz w:val="22"/>
          <w:szCs w:val="22"/>
        </w:rPr>
        <w:t>: un 13,6% más</w:t>
      </w:r>
      <w:r w:rsidR="006F6346" w:rsidRPr="008D0A23">
        <w:rPr>
          <w:rFonts w:ascii="Bankinter Sans" w:hAnsi="Bankinter Sans"/>
          <w:color w:val="000000" w:themeColor="text1"/>
          <w:sz w:val="22"/>
          <w:szCs w:val="22"/>
        </w:rPr>
        <w:t xml:space="preserve">. </w:t>
      </w:r>
      <w:r w:rsidR="002167CA" w:rsidRPr="008D0A23">
        <w:rPr>
          <w:rFonts w:ascii="Bankinter Sans" w:hAnsi="Bankinter Sans"/>
          <w:sz w:val="22"/>
          <w:szCs w:val="22"/>
        </w:rPr>
        <w:t xml:space="preserve">Sin incluir las cifras de </w:t>
      </w:r>
      <w:r w:rsidR="006F6346" w:rsidRPr="008D0A23">
        <w:rPr>
          <w:rFonts w:ascii="Bankinter Sans" w:hAnsi="Bankinter Sans"/>
          <w:sz w:val="22"/>
          <w:szCs w:val="22"/>
        </w:rPr>
        <w:t>EVO</w:t>
      </w:r>
      <w:r w:rsidR="002167CA" w:rsidRPr="008D0A23">
        <w:rPr>
          <w:rFonts w:ascii="Bankinter Sans" w:hAnsi="Bankinter Sans"/>
          <w:sz w:val="22"/>
          <w:szCs w:val="22"/>
        </w:rPr>
        <w:t xml:space="preserve"> Banco</w:t>
      </w:r>
      <w:r w:rsidR="003025B4" w:rsidRPr="008D0A23">
        <w:rPr>
          <w:rFonts w:ascii="Bankinter Sans" w:hAnsi="Bankinter Sans"/>
          <w:color w:val="000000" w:themeColor="text1"/>
          <w:sz w:val="22"/>
          <w:szCs w:val="22"/>
        </w:rPr>
        <w:t>, el incremento es también superior a la media sectorial.</w:t>
      </w:r>
    </w:p>
    <w:p w:rsidR="00A53884" w:rsidRPr="00DB1EDF" w:rsidRDefault="00A53884" w:rsidP="00666BE9">
      <w:pPr>
        <w:spacing w:after="0" w:line="240" w:lineRule="auto"/>
        <w:rPr>
          <w:color w:val="0070C0"/>
        </w:rPr>
      </w:pPr>
    </w:p>
    <w:p w:rsidR="00810F03" w:rsidRDefault="00810F03" w:rsidP="00810F03">
      <w:pPr>
        <w:pStyle w:val="Textocomentario"/>
        <w:jc w:val="both"/>
        <w:rPr>
          <w:rFonts w:ascii="Bankinter Sans" w:hAnsi="Bankinter Sans"/>
          <w:color w:val="000000" w:themeColor="text1"/>
        </w:rPr>
      </w:pPr>
      <w:r w:rsidRPr="00810F03">
        <w:rPr>
          <w:rFonts w:ascii="Bankinter Sans" w:hAnsi="Bankinter Sans"/>
          <w:color w:val="000000" w:themeColor="text1"/>
        </w:rPr>
        <w:t>El Grupo Bankinter consolida al cierre del tercer trimestre de 2019 la tendencia mostrada a lo largo del año: un negocio típico en constante crecimiento, una rentabilidad por encima de la media sectorial y una calidad de activos entre las mejores del mercado.</w:t>
      </w:r>
    </w:p>
    <w:p w:rsidR="00810F03" w:rsidRDefault="00810F03" w:rsidP="00810F03">
      <w:pPr>
        <w:pStyle w:val="Textocomentario"/>
        <w:jc w:val="both"/>
        <w:rPr>
          <w:rFonts w:ascii="Bankinter Sans" w:hAnsi="Bankinter Sans"/>
          <w:color w:val="000000" w:themeColor="text1"/>
        </w:rPr>
      </w:pPr>
    </w:p>
    <w:p w:rsidR="00810F03" w:rsidRPr="00DE6CBF" w:rsidRDefault="00810F03" w:rsidP="00810F03">
      <w:pPr>
        <w:pStyle w:val="Textocomentario"/>
        <w:jc w:val="both"/>
        <w:rPr>
          <w:rFonts w:ascii="Bankinter Sans" w:hAnsi="Bankinter Sans"/>
          <w:color w:val="000000" w:themeColor="text1"/>
        </w:rPr>
      </w:pPr>
      <w:r w:rsidRPr="00DE6CBF">
        <w:rPr>
          <w:rFonts w:ascii="Bankinter Sans" w:hAnsi="Bankinter Sans" w:cs="Bankinter"/>
          <w:color w:val="000000" w:themeColor="text1"/>
        </w:rPr>
        <w:t xml:space="preserve">El Grupo Bankinter obtiene un beneficio neto, al 30 de septiembre, de 444,4  millones de euros, y un beneficio antes de impuestos de 587,8 millones, lo que supone incrementos respecto al año anterior del 10,1% y del 6,3%, respectivamente. Estos resultados incorporan las cifras </w:t>
      </w:r>
      <w:r w:rsidRPr="00DE6CBF">
        <w:rPr>
          <w:rFonts w:ascii="Bankinter Sans" w:hAnsi="Bankinter Sans"/>
          <w:color w:val="000000" w:themeColor="text1"/>
        </w:rPr>
        <w:t>de negocio de EVO Banco y de su filial de consumo en Irlanda, Avantcard, cuya integración al Grupo se produjo en el segundo trimestre del año.</w:t>
      </w:r>
    </w:p>
    <w:p w:rsidR="00810F03" w:rsidRPr="00DE6CBF" w:rsidRDefault="00810F03" w:rsidP="00810F03">
      <w:pPr>
        <w:pStyle w:val="Textocomentario"/>
        <w:jc w:val="both"/>
        <w:rPr>
          <w:rFonts w:ascii="Bankinter Sans" w:hAnsi="Bankinter Sans"/>
          <w:color w:val="000000" w:themeColor="text1"/>
        </w:rPr>
      </w:pPr>
    </w:p>
    <w:p w:rsidR="00262AB1" w:rsidRPr="00CC76F7" w:rsidRDefault="00CC76F7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  <w:r w:rsidRPr="00CC76F7">
        <w:rPr>
          <w:rFonts w:ascii="Bankinter Sans" w:hAnsi="Bankinter Sans"/>
        </w:rPr>
        <w:t>Excluyendo los efectos de la adquisición de EVO Banco y</w:t>
      </w:r>
      <w:r w:rsidR="00810F03" w:rsidRPr="00CC76F7">
        <w:rPr>
          <w:rFonts w:ascii="Bankinter Sans" w:hAnsi="Bankinter Sans" w:cs="Bankinter"/>
          <w:color w:val="000000" w:themeColor="text1"/>
        </w:rPr>
        <w:t xml:space="preserve"> </w:t>
      </w:r>
      <w:r w:rsidRPr="00CC76F7">
        <w:rPr>
          <w:rFonts w:ascii="Bankinter Sans" w:hAnsi="Bankinter Sans" w:cs="Bankinter"/>
          <w:color w:val="000000" w:themeColor="text1"/>
        </w:rPr>
        <w:t xml:space="preserve">el </w:t>
      </w:r>
      <w:r w:rsidR="00810F03" w:rsidRPr="00CC76F7">
        <w:rPr>
          <w:rFonts w:ascii="Bankinter Sans" w:hAnsi="Bankinter Sans" w:cs="Bankinter"/>
          <w:color w:val="000000" w:themeColor="text1"/>
        </w:rPr>
        <w:t xml:space="preserve">resto de cifras procedentes de los negocios adquiridos, el beneficio neto sería de 412,3 millones de euros, y 567,8 millones el beneficio antes de impuestos, lo que supone un crecimiento medido en términos homogéneos del 2,1% y 2,7% respectivamente. </w:t>
      </w:r>
    </w:p>
    <w:p w:rsid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  <w:sz w:val="22"/>
          <w:szCs w:val="22"/>
        </w:rPr>
      </w:pPr>
    </w:p>
    <w:p w:rsidR="00262AB1" w:rsidRP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  <w:r w:rsidRPr="00262AB1">
        <w:rPr>
          <w:rFonts w:ascii="Bankinter Sans" w:hAnsi="Bankinter Sans" w:cs="Bankinter"/>
          <w:color w:val="000000" w:themeColor="text1"/>
        </w:rPr>
        <w:t>El ROE, o rentabilidad sobre recursos propios, del 12,64%, se mantiene como una de las fortalezas del Grupo Bankinter.</w:t>
      </w:r>
    </w:p>
    <w:p w:rsidR="00262AB1" w:rsidRP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</w:p>
    <w:p w:rsid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  <w:r w:rsidRPr="00262AB1">
        <w:rPr>
          <w:rFonts w:ascii="Bankinter Sans" w:hAnsi="Bankinter Sans" w:cs="Bankinter"/>
          <w:color w:val="000000" w:themeColor="text1"/>
        </w:rPr>
        <w:t>En lo referente a calidad de activos, el banco conserva su liderazgo entre la banca cotizada. El índice de morosidad se sitúa en el 2,73% frente al 3,20% de hace un año.</w:t>
      </w:r>
    </w:p>
    <w:p w:rsid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</w:p>
    <w:p w:rsidR="00262AB1" w:rsidRP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  <w:r w:rsidRPr="00262AB1">
        <w:rPr>
          <w:rFonts w:ascii="Bankinter Sans" w:hAnsi="Bankinter Sans" w:cs="Bankinter"/>
          <w:color w:val="000000" w:themeColor="text1"/>
        </w:rPr>
        <w:t xml:space="preserve">En cuanto a la solvencia, la ratio de capital CET1 </w:t>
      </w:r>
      <w:r w:rsidRPr="00262AB1">
        <w:rPr>
          <w:rFonts w:ascii="Bankinter Sans" w:hAnsi="Bankinter Sans" w:cs="Bankinter"/>
          <w:i/>
          <w:color w:val="000000" w:themeColor="text1"/>
        </w:rPr>
        <w:t>fully loaded</w:t>
      </w:r>
      <w:bookmarkStart w:id="0" w:name="_GoBack"/>
      <w:bookmarkEnd w:id="0"/>
      <w:r w:rsidRPr="00262AB1">
        <w:rPr>
          <w:rFonts w:ascii="Bankinter Sans" w:hAnsi="Bankinter Sans" w:cs="Bankinter"/>
          <w:color w:val="000000" w:themeColor="text1"/>
        </w:rPr>
        <w:t xml:space="preserve"> concluye el tercer trimestre en el 11,57%, un dato superior al del pasado trimestre y muy por encima del requerimiento mínimo de capital exigido a Bankinter por el Banco Central Europeo para este año, que fue del 8,20%.</w:t>
      </w:r>
    </w:p>
    <w:p w:rsidR="00262AB1" w:rsidRP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</w:p>
    <w:p w:rsidR="00262AB1" w:rsidRPr="00262AB1" w:rsidRDefault="00262AB1" w:rsidP="00262AB1">
      <w:pPr>
        <w:pStyle w:val="Textocomentario"/>
        <w:jc w:val="both"/>
        <w:rPr>
          <w:rFonts w:ascii="Bankinter Sans" w:eastAsiaTheme="minorHAnsi" w:hAnsi="Bankinter Sans" w:cs="Bankinter"/>
          <w:color w:val="000000" w:themeColor="text1"/>
          <w:lang w:val="es-ES_tradnl" w:eastAsia="en-US"/>
        </w:rPr>
      </w:pPr>
      <w:r w:rsidRPr="00262AB1">
        <w:rPr>
          <w:rFonts w:ascii="Bankinter Sans" w:eastAsiaTheme="minorHAnsi" w:hAnsi="Bankinter Sans" w:cs="Bankinter"/>
          <w:color w:val="000000" w:themeColor="text1"/>
          <w:lang w:val="es-ES_tradnl" w:eastAsia="en-US"/>
        </w:rPr>
        <w:t xml:space="preserve">Por lo que atañe a la liquidez, el </w:t>
      </w:r>
      <w:r w:rsidRPr="00262AB1">
        <w:rPr>
          <w:rFonts w:ascii="Bankinter Sans" w:eastAsiaTheme="minorHAnsi" w:hAnsi="Bankinter Sans" w:cs="Bankinter"/>
          <w:i/>
          <w:color w:val="000000" w:themeColor="text1"/>
          <w:lang w:val="es-ES_tradnl" w:eastAsia="en-US"/>
        </w:rPr>
        <w:t>gap</w:t>
      </w:r>
      <w:r w:rsidRPr="00262AB1">
        <w:rPr>
          <w:rFonts w:ascii="Bankinter Sans" w:eastAsiaTheme="minorHAnsi" w:hAnsi="Bankinter Sans" w:cs="Bankinter"/>
          <w:color w:val="000000" w:themeColor="text1"/>
          <w:lang w:val="es-ES_tradnl" w:eastAsia="en-US"/>
        </w:rPr>
        <w:t xml:space="preserve"> comercial (diferencia entre la inversión crediticia y los recursos captados de clientes) se reduce a tan solo 700 millones de euros cuando hace un año la cifra era de 3.700 millones, con lo que la ratio de depósitos sobre créditos se sitúa en un 99,8%.</w:t>
      </w:r>
    </w:p>
    <w:p w:rsidR="00262AB1" w:rsidRPr="00262AB1" w:rsidRDefault="00262AB1" w:rsidP="00262AB1">
      <w:pPr>
        <w:pStyle w:val="Textocomentario"/>
        <w:jc w:val="both"/>
        <w:rPr>
          <w:rFonts w:ascii="Bankinter Sans" w:eastAsiaTheme="minorHAnsi" w:hAnsi="Bankinter Sans" w:cs="Bankinter"/>
          <w:color w:val="000000" w:themeColor="text1"/>
          <w:lang w:val="es-ES_tradnl" w:eastAsia="en-US"/>
        </w:rPr>
      </w:pPr>
    </w:p>
    <w:p w:rsidR="00262AB1" w:rsidRPr="00262AB1" w:rsidRDefault="00262AB1" w:rsidP="00262AB1">
      <w:pPr>
        <w:pStyle w:val="Textocomentario"/>
        <w:jc w:val="both"/>
        <w:rPr>
          <w:rFonts w:ascii="Bankinter Sans" w:hAnsi="Bankinter Sans" w:cs="Bankinter"/>
          <w:color w:val="000000" w:themeColor="text1"/>
        </w:rPr>
      </w:pPr>
      <w:r w:rsidRPr="00262AB1">
        <w:rPr>
          <w:rFonts w:ascii="Bankinter Sans" w:hAnsi="Bankinter Sans" w:cs="Bankinter"/>
          <w:color w:val="000000" w:themeColor="text1"/>
        </w:rPr>
        <w:t>Por último, hay que señalar que de cara a los próximos dos ejercicios y a lo que resta de este</w:t>
      </w:r>
      <w:r w:rsidR="0077620F">
        <w:rPr>
          <w:rFonts w:ascii="Bankinter Sans" w:hAnsi="Bankinter Sans" w:cs="Bankinter"/>
          <w:color w:val="000000" w:themeColor="text1"/>
        </w:rPr>
        <w:t>,</w:t>
      </w:r>
      <w:r w:rsidRPr="00262AB1">
        <w:rPr>
          <w:rFonts w:ascii="Bankinter Sans" w:hAnsi="Bankinter Sans" w:cs="Bankinter"/>
          <w:color w:val="000000" w:themeColor="text1"/>
        </w:rPr>
        <w:t xml:space="preserve"> el banco solo cuenta con vencimientos por valor de 800 millones de euros, para afrontar los cuales posee activos líquidos por valor de 14.700 millones de euros y una capacidad para emitir cédulas por 6.000 millones.</w:t>
      </w:r>
    </w:p>
    <w:p w:rsidR="004B5E5C" w:rsidRPr="00DB1EDF" w:rsidRDefault="004B5E5C" w:rsidP="004B5E5C">
      <w:pPr>
        <w:pStyle w:val="Textocomentario"/>
        <w:jc w:val="both"/>
        <w:rPr>
          <w:rFonts w:ascii="Bankinter Sans" w:hAnsi="Bankinter Sans" w:cs="Bankinter"/>
          <w:color w:val="0070C0"/>
        </w:rPr>
      </w:pPr>
    </w:p>
    <w:p w:rsidR="00F93F5D" w:rsidRPr="00262AB1" w:rsidRDefault="00262AB1" w:rsidP="00F93F5D">
      <w:pPr>
        <w:spacing w:after="0" w:line="240" w:lineRule="auto"/>
        <w:jc w:val="both"/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</w:pPr>
      <w:r w:rsidRPr="00262AB1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 xml:space="preserve">Crecimiento en todos </w:t>
      </w:r>
      <w:r w:rsidR="004A646B" w:rsidRPr="00262AB1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>l</w:t>
      </w:r>
      <w:r w:rsidR="004B5E5C" w:rsidRPr="00262AB1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>os márgenes</w:t>
      </w:r>
      <w:r w:rsidRPr="00262AB1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 xml:space="preserve"> de la cuenta</w:t>
      </w:r>
      <w:r w:rsidR="004B5E5C" w:rsidRPr="00262AB1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 xml:space="preserve"> </w:t>
      </w:r>
    </w:p>
    <w:p w:rsidR="00F93F5D" w:rsidRPr="00DB1EDF" w:rsidRDefault="00F93F5D" w:rsidP="00F93F5D">
      <w:pPr>
        <w:spacing w:after="0" w:line="240" w:lineRule="auto"/>
        <w:jc w:val="both"/>
        <w:rPr>
          <w:rFonts w:ascii="Bankinter Sans" w:hAnsi="Bankinter Sans" w:cs="Bankinter"/>
          <w:b/>
          <w:color w:val="0070C0"/>
          <w:sz w:val="20"/>
          <w:szCs w:val="20"/>
          <w:u w:val="single"/>
        </w:rPr>
      </w:pP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>A pesar de</w:t>
      </w:r>
      <w:r w:rsidR="00594D9D">
        <w:rPr>
          <w:rFonts w:ascii="Bankinter Sans" w:hAnsi="Bankinter Sans" w:cs="Bankinter"/>
          <w:color w:val="000000" w:themeColor="text1"/>
          <w:sz w:val="20"/>
          <w:szCs w:val="20"/>
        </w:rPr>
        <w:t>l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 entorno</w:t>
      </w:r>
      <w:r w:rsidR="00594D9D">
        <w:rPr>
          <w:rFonts w:ascii="Bankinter Sans" w:hAnsi="Bankinter Sans" w:cs="Bankinter"/>
          <w:color w:val="000000" w:themeColor="text1"/>
          <w:sz w:val="20"/>
          <w:szCs w:val="20"/>
        </w:rPr>
        <w:t xml:space="preserve"> de bajos tipos de interés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>, el negocio de clientes de Bankinter sigue generando mayores ingresos, lo cual se traslada a los diferentes márgenes de la cuenta, que experimentan todos ellos crecimientos respecto a las cifras del mismo periodo de 2018.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lastRenderedPageBreak/>
        <w:t>El primero de ellos, el margen de intereses, crece un 7,3% respecto al del cierre del tercer trimestre de 2018, hasta los 875,7 millones de euros.</w:t>
      </w:r>
      <w:r w:rsidR="002167CA">
        <w:rPr>
          <w:rFonts w:ascii="Bankinter Sans" w:hAnsi="Bankinter Sans" w:cs="Bankinter"/>
          <w:color w:val="000000" w:themeColor="text1"/>
          <w:sz w:val="20"/>
          <w:szCs w:val="20"/>
        </w:rPr>
        <w:t xml:space="preserve"> Excluyendo la aportación de EVO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 Banco, ese crecimiento sería del 4,5%.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>A continuación, el margen bruto alcanza los 1.544,8 millones de euros, un 4,9% más, con unos ingresos netos por comisiones de 346,7 millones, que crecen al 4,3% y suponen el 22% del total de este margen. Sin contar EVO Banco el crecimiento del margen bruto sería del 3,1%.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Pr="002167CA" w:rsidRDefault="00262AB1" w:rsidP="00262AB1">
      <w:pPr>
        <w:spacing w:after="0" w:line="240" w:lineRule="auto"/>
        <w:jc w:val="both"/>
        <w:rPr>
          <w:rFonts w:ascii="Bankinter Sans" w:eastAsiaTheme="minorHAnsi" w:hAnsi="Bankinter Sans" w:cs="Tms Rmn"/>
          <w:color w:val="000000" w:themeColor="text1"/>
          <w:sz w:val="20"/>
          <w:szCs w:val="20"/>
          <w:lang w:eastAsia="en-US"/>
        </w:rPr>
      </w:pPr>
      <w:r w:rsidRPr="002167CA">
        <w:rPr>
          <w:rFonts w:ascii="Bankinter Sans" w:hAnsi="Bankinter Sans" w:cs="Bankinter"/>
          <w:color w:val="000000" w:themeColor="text1"/>
          <w:sz w:val="20"/>
          <w:szCs w:val="20"/>
        </w:rPr>
        <w:t>Por su parte, el margen de explotación cierra el tercer trimestre en 752 millones de euros, un 4,3% más que hace un año; y es un 7,4% superior sin contar  EVO</w:t>
      </w:r>
      <w:r w:rsidR="00594D9D">
        <w:rPr>
          <w:rFonts w:ascii="Bankinter Sans" w:hAnsi="Bankinter Sans" w:cs="Bankinter"/>
          <w:color w:val="000000" w:themeColor="text1"/>
          <w:sz w:val="20"/>
          <w:szCs w:val="20"/>
        </w:rPr>
        <w:t xml:space="preserve"> Banco</w:t>
      </w:r>
      <w:r w:rsidRPr="002167CA">
        <w:rPr>
          <w:rFonts w:ascii="Bankinter Sans" w:hAnsi="Bankinter Sans" w:cs="Bankinter"/>
          <w:color w:val="000000" w:themeColor="text1"/>
          <w:sz w:val="20"/>
          <w:szCs w:val="20"/>
        </w:rPr>
        <w:t xml:space="preserve">. La integración de esta entidad lleva a que los costes operativos se incrementen en un 5,4%, aunque </w:t>
      </w:r>
      <w:r w:rsidR="006F6346" w:rsidRPr="002167CA">
        <w:rPr>
          <w:rFonts w:ascii="Bankinter Sans" w:hAnsi="Bankinter Sans" w:cs="Bankinter"/>
          <w:color w:val="000000" w:themeColor="text1"/>
          <w:sz w:val="20"/>
          <w:szCs w:val="20"/>
        </w:rPr>
        <w:t>e</w:t>
      </w:r>
      <w:r w:rsidR="006F6346" w:rsidRPr="002167CA">
        <w:rPr>
          <w:rFonts w:ascii="Bankinter Sans" w:eastAsia="Times New Roman" w:hAnsi="Bankinter Sans"/>
          <w:sz w:val="20"/>
          <w:szCs w:val="20"/>
        </w:rPr>
        <w:t xml:space="preserve">xcluyendo los efectos de la adquisición de EVO Banco </w:t>
      </w:r>
      <w:r w:rsidRPr="002167CA">
        <w:rPr>
          <w:rFonts w:ascii="Bankinter Sans" w:hAnsi="Bankinter Sans" w:cs="Bankinter"/>
          <w:color w:val="000000" w:themeColor="text1"/>
          <w:sz w:val="20"/>
          <w:szCs w:val="20"/>
        </w:rPr>
        <w:t xml:space="preserve">se reducen en un 1%. En consecuencia, la ratio de </w:t>
      </w:r>
      <w:r w:rsidRPr="002167CA">
        <w:rPr>
          <w:rFonts w:ascii="Bankinter Sans" w:eastAsiaTheme="minorHAnsi" w:hAnsi="Bankinter Sans" w:cs="Tms Rmn"/>
          <w:color w:val="000000" w:themeColor="text1"/>
          <w:sz w:val="20"/>
          <w:szCs w:val="20"/>
          <w:lang w:eastAsia="en-US"/>
        </w:rPr>
        <w:t>eficiencia de la actividad bancaria con amortizaciones se sitúa en el</w:t>
      </w:r>
      <w:r w:rsidR="00DE6CBF" w:rsidRPr="002167CA">
        <w:rPr>
          <w:rFonts w:ascii="Bankinter Sans" w:eastAsiaTheme="minorHAnsi" w:hAnsi="Bankinter Sans" w:cs="Tms Rmn"/>
          <w:color w:val="000000" w:themeColor="text1"/>
          <w:sz w:val="20"/>
          <w:szCs w:val="20"/>
          <w:lang w:eastAsia="en-US"/>
        </w:rPr>
        <w:t xml:space="preserve"> 46,7% sin EVO B</w:t>
      </w:r>
      <w:r w:rsidRPr="002167CA">
        <w:rPr>
          <w:rFonts w:ascii="Bankinter Sans" w:eastAsiaTheme="minorHAnsi" w:hAnsi="Bankinter Sans" w:cs="Tms Rmn"/>
          <w:color w:val="000000" w:themeColor="text1"/>
          <w:sz w:val="20"/>
          <w:szCs w:val="20"/>
          <w:lang w:eastAsia="en-US"/>
        </w:rPr>
        <w:t>anco, y en el 48,7% teniendo en cuenta su integración.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eastAsiaTheme="minorHAnsi" w:hAnsi="Bankinter Sans" w:cs="Tms Rmn"/>
          <w:color w:val="000000" w:themeColor="text1"/>
          <w:sz w:val="20"/>
          <w:szCs w:val="20"/>
          <w:lang w:eastAsia="en-US"/>
        </w:rPr>
      </w:pPr>
    </w:p>
    <w:p w:rsid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Con todo ello, Bankinter obtiene al 30 de </w:t>
      </w:r>
      <w:r w:rsidR="00594D9D">
        <w:rPr>
          <w:rFonts w:ascii="Bankinter Sans" w:hAnsi="Bankinter Sans" w:cs="Bankinter"/>
          <w:color w:val="000000" w:themeColor="text1"/>
          <w:sz w:val="20"/>
          <w:szCs w:val="20"/>
        </w:rPr>
        <w:t>s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eptiembre de 2019 un beneficio neto de 444,4  millones de euros, un 10,1% más que en el mismo periodo del año anterior; y 587,8 millones de beneficio antes de impuestos, con un crecimiento del 6,3%. 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Por lo que hace referencia al balance de Bankinter, los activos totales del Grupo, que desde el 31 de mayo de este año incluyen el negocio de EVO Banco y Avantcard, alcanzan los 84.244 millones de euros, que significa un crecimiento del 10,4% sobre la cifra del 30 de septiembre de 2018. 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Default="00262AB1" w:rsidP="00262AB1">
      <w:pPr>
        <w:spacing w:after="0" w:line="240" w:lineRule="auto"/>
        <w:jc w:val="both"/>
        <w:rPr>
          <w:rFonts w:ascii="Bankinter Sans" w:hAnsi="Bankinter Sans"/>
          <w:color w:val="000000" w:themeColor="text1"/>
          <w:sz w:val="20"/>
          <w:szCs w:val="20"/>
        </w:rPr>
      </w:pP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>El total de la</w:t>
      </w:r>
      <w:r w:rsidRPr="00262AB1">
        <w:rPr>
          <w:rFonts w:ascii="Bankinter Sans" w:hAnsi="Bankinter Sans"/>
          <w:color w:val="000000" w:themeColor="text1"/>
          <w:sz w:val="20"/>
          <w:szCs w:val="20"/>
        </w:rPr>
        <w:t xml:space="preserve"> 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>inversión crediticia</w:t>
      </w:r>
      <w:r w:rsidRPr="00262AB1">
        <w:rPr>
          <w:rFonts w:ascii="Bankinter Sans" w:hAnsi="Bankinter Sans"/>
          <w:color w:val="000000" w:themeColor="text1"/>
          <w:sz w:val="20"/>
          <w:szCs w:val="20"/>
        </w:rPr>
        <w:t xml:space="preserve"> a clientes asciende a 59.353,6 millones de euros, un 8,4% más que hace un año. Teniendo en cuenta sólo el negocio en España, y excluyendo de él a EVO Banco, el crecimiento ha sido del 5%, cuando el sector, con datos a agosto del Banco de España, ha decrecido un 1%.</w:t>
      </w:r>
    </w:p>
    <w:p w:rsidR="00262AB1" w:rsidRDefault="00262AB1" w:rsidP="00262AB1">
      <w:pPr>
        <w:spacing w:after="0" w:line="240" w:lineRule="auto"/>
        <w:jc w:val="both"/>
        <w:rPr>
          <w:rFonts w:ascii="Bankinter Sans" w:hAnsi="Bankinter Sans"/>
          <w:color w:val="000000" w:themeColor="text1"/>
          <w:sz w:val="20"/>
          <w:szCs w:val="20"/>
        </w:rPr>
      </w:pPr>
    </w:p>
    <w:p w:rsid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262AB1">
        <w:rPr>
          <w:rFonts w:ascii="Bankinter Sans" w:hAnsi="Bankinter Sans"/>
          <w:color w:val="000000" w:themeColor="text1"/>
          <w:sz w:val="20"/>
          <w:szCs w:val="20"/>
        </w:rPr>
        <w:t>L</w:t>
      </w:r>
      <w:r w:rsidRPr="00262AB1">
        <w:rPr>
          <w:rFonts w:ascii="Bankinter Sans" w:hAnsi="Bankinter Sans" w:cs="Bankinter"/>
          <w:color w:val="000000" w:themeColor="text1"/>
          <w:sz w:val="20"/>
          <w:szCs w:val="20"/>
        </w:rPr>
        <w:t xml:space="preserve">os recursos minoristas de clientes alcanzan los 57.140,1 millones de euros, un 13,6% más, o un 7% más solo en España ex-EVO. Y en lo referente a los recursos gestionados fuera de balance, suman un patrimonio total de 29.321,9 millones de euros, un 2,7% más que hace un año. </w:t>
      </w: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262AB1" w:rsidRPr="00262AB1" w:rsidRDefault="00262AB1" w:rsidP="00262AB1">
      <w:pPr>
        <w:spacing w:after="0" w:line="240" w:lineRule="auto"/>
        <w:jc w:val="both"/>
        <w:rPr>
          <w:rFonts w:ascii="Bankinter Sans" w:hAnsi="Bankinter Sans"/>
          <w:color w:val="000000" w:themeColor="text1"/>
          <w:sz w:val="20"/>
          <w:szCs w:val="20"/>
        </w:rPr>
      </w:pPr>
      <w:r w:rsidRPr="00262AB1">
        <w:rPr>
          <w:rFonts w:ascii="Bankinter Sans" w:hAnsi="Bankinter Sans"/>
          <w:color w:val="000000" w:themeColor="text1"/>
          <w:sz w:val="20"/>
          <w:szCs w:val="20"/>
        </w:rPr>
        <w:t xml:space="preserve">En cuanto al índice de morosidad del Grupo, se sitúa en el 2,73% frente al 3,20% de hace un año. Es reseñable a este respecto la significativa reducción que ha experimentado la cartera de  activos inmobiliarios adjudicados, que suman al cierre del trimestre un valor bruto de 308,4 millones de euros, frente a los 366,1 millones de hace un año. La cobertura de estos adjudicados es del 46%. </w:t>
      </w:r>
    </w:p>
    <w:p w:rsidR="00F93F5D" w:rsidRPr="00DB1EDF" w:rsidRDefault="00F93F5D" w:rsidP="00F93F5D">
      <w:pPr>
        <w:spacing w:after="0" w:line="240" w:lineRule="auto"/>
        <w:jc w:val="both"/>
        <w:rPr>
          <w:rFonts w:ascii="Bankinter Sans" w:hAnsi="Bankinter Sans"/>
          <w:color w:val="0070C0"/>
          <w:sz w:val="20"/>
          <w:szCs w:val="20"/>
        </w:rPr>
      </w:pPr>
    </w:p>
    <w:p w:rsidR="00F566AC" w:rsidRPr="00F566AC" w:rsidRDefault="00262AB1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</w:pPr>
      <w:r w:rsidRPr="00F566AC"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  <w:t>Un negocio diversificado y rentable.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b/>
          <w:color w:val="000000" w:themeColor="text1"/>
          <w:sz w:val="20"/>
          <w:szCs w:val="20"/>
          <w:u w:val="single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El negocio de clientes sigue siendo el principal artífice de la generación de resultados del Grupo; y dentro de este, el negocio de Empresas es el máximo contribuidor a los ingresos.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La cartera de inversión de Banca de Empresas se sitúa al cierre del tercer trimestre en los 25.000 millones de euros, frente a los 23.700 millones de hace un año. Si ponemos el foco en la actividad en España, la cartera crediticia a empresas se sitúa en 23.300 millones, lo que supone un crecimiento del 3,7% frente al mismo dato de hace un año cuando el sector ha decrecido una media del 2,3%, con datos a agosto del Banco de España. Un 50% de esta cartera corresponde a grandes empresas, un 27% a medianas y el resto a pymes. 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Dentro del negocio de Empresas, el área de Banca Internacional y el de Banca de Inversión siguen mostrando su vigor en el entorno actual. La inversión en el Negocio Internacional ha experimentado en el año un crecimiento del 22%, y un crecimiento similar la de Banca de Inversión. Por lo que se refiere al margen bruto de ambos negocios, crece un 11% y 18%, respectivamente, respecto al cierre del tercer trimestre de 2018.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Por su parte, dentro del negocio de Banca Comercial, o de personas físicas, es reseñable la evolución de Banca Privada, con un patrimonio gestionado que crece un 5%, hasta alcanzar los 39.000 millones de euros. El crecimiento en estos nueve meses del año ha sido de 3.300 millones.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Otro tanto ocurre en el segmento de Banca Personal, donde el patrimonio gestionado alcanzó los 23.000 millones de euros, un 5% más que hace doce meses, con un crecimiento en estos tres trimestres del año de 1.400 millones.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Tanto los recursos como la inversión en Banca Comercial experimentan buen comportamiento. La cartera de cuentas nómina, uno de los principales productos del banco y sin duda el que cuenta con mayor poder de captación, ha tenido un crecimiento muy notable, de un 25% sobre la misma cifra a septiembre de 2018, hasta alcanzar los 9.645 millones de euros.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Por el lado de la inversión, la nueva producción hipotecaria suma en estos nueve primeros meses de 2019 un volumen de 2.094 millones de euros, un 12% más que lo alcanzado durante el mismo periodo del año anterior, con un </w:t>
      </w:r>
      <w:r w:rsidRPr="00F566AC">
        <w:rPr>
          <w:rFonts w:ascii="Bankinter Sans" w:hAnsi="Bankinter Sans" w:cs="Bankinter"/>
          <w:i/>
          <w:color w:val="000000" w:themeColor="text1"/>
          <w:sz w:val="20"/>
          <w:szCs w:val="20"/>
        </w:rPr>
        <w:t xml:space="preserve">loan to value </w:t>
      </w: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del 65%, y con un 32% de estas nuevas hipotecas a tipo fijo. 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El total de la cartera hipotecaria de Bankinter en España suma 22.600 millones de euros, lo que supone un incremento del 2,1% frente al mismo dato al 30 de septiembre de 2018, y todo ello cuando la cartera hipotecaria del sector en su conjunto se ha reducido en un 1,4%, con datos del </w:t>
      </w:r>
      <w:proofErr w:type="spellStart"/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BdE</w:t>
      </w:r>
      <w:proofErr w:type="spellEnd"/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 al mes de agosto. </w:t>
      </w:r>
    </w:p>
    <w:p w:rsid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eastAsiaTheme="minorHAnsi" w:hAnsi="Bankinter Sans" w:cs="BankinterSans-Light"/>
          <w:color w:val="000000" w:themeColor="text1"/>
          <w:sz w:val="20"/>
          <w:szCs w:val="20"/>
          <w:lang w:eastAsia="en-US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 xml:space="preserve">En cuanto a Línea Directa Aseguradora, alcanza los 3,14 millones de riesgos asegurados, un 6,1% más respecto a hace un año. El crecimiento de pólizas Motor fue del 4,2% y del 9,9% el de Hogar. La prima emitida suma 671,2 millones de euros, un 5% más, con unos crecimientos tanto en Hogar como en Motor muy por encima de la media sectorial. </w:t>
      </w:r>
      <w:r w:rsidRPr="00F566AC">
        <w:rPr>
          <w:rFonts w:ascii="Bankinter Sans" w:eastAsiaTheme="minorHAnsi" w:hAnsi="Bankinter Sans" w:cs="BankinterSans-Light"/>
          <w:color w:val="000000" w:themeColor="text1"/>
          <w:sz w:val="20"/>
          <w:szCs w:val="20"/>
          <w:lang w:eastAsia="en-US"/>
        </w:rPr>
        <w:t>En cuanto al ratio combinado del Grupo Línea Directa se sitúa en el 87,4%, y el ROE en el 36%.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eastAsiaTheme="minorHAnsi" w:hAnsi="Bankinter Sans" w:cs="BankinterSans-Light"/>
          <w:color w:val="000000" w:themeColor="text1"/>
          <w:sz w:val="20"/>
          <w:szCs w:val="20"/>
          <w:lang w:eastAsia="en-US"/>
        </w:rPr>
      </w:pP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Por lo que se refiere a Bankinter Consumer Finance, que opera el negocio de consumo del banco, alcanza los 1,4 millones de clientes, un 13% más que un año atrás. La cartera de inversión suma 2.300 millones de euros, un 27% más que a septiembre de 2018. El volumen de nuevo crédito en estos nueve meses de 2019 asciende a 622 millones, un 37% más que los concedidos en similar periodo de 2018.</w:t>
      </w:r>
    </w:p>
    <w:p w:rsidR="00F566AC" w:rsidRPr="00F566AC" w:rsidRDefault="00F566AC" w:rsidP="00F566AC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A801E4" w:rsidRDefault="00F566AC" w:rsidP="00A801E4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F566AC">
        <w:rPr>
          <w:rFonts w:ascii="Bankinter Sans" w:hAnsi="Bankinter Sans" w:cs="Bankinter"/>
          <w:color w:val="000000" w:themeColor="text1"/>
          <w:sz w:val="20"/>
          <w:szCs w:val="20"/>
        </w:rPr>
        <w:t>Bankinter Portugal, por su parte, mantiene su exitosa proyección, con la inversión y los recursos creciendo a doble dígito: un 14% y un 15% respectivamente. Es especialmente reseñable la buena evolución que muestra la cartera de inversión de Empresas: un 34% superior a la de hace un año. Al cierre de este tercer trimestre de 2019, el beneficio antes de impuestos de Bankinter Portugal asciende a 51 millones de euros, un 17% por encima del mismo dato a 30 de septiembre de 2018.</w:t>
      </w:r>
    </w:p>
    <w:p w:rsidR="00A801E4" w:rsidRDefault="00A801E4" w:rsidP="00A801E4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A801E4" w:rsidRPr="00A801E4" w:rsidRDefault="00A801E4" w:rsidP="00A801E4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A801E4">
        <w:rPr>
          <w:rFonts w:ascii="Bankinter Sans" w:hAnsi="Bankinter Sans" w:cs="Bankinter"/>
          <w:color w:val="000000" w:themeColor="text1"/>
          <w:sz w:val="20"/>
          <w:szCs w:val="20"/>
        </w:rPr>
        <w:lastRenderedPageBreak/>
        <w:t>Desde el pasado 31 de mayo se integran en el banco los negocios de EVO Banco y de la filial de consumo en Irlanda Avantcard, compañía esta última que mantiene un importante crecimiento en su cartera de inversión. Por lo que se refiere a EVO</w:t>
      </w:r>
      <w:r w:rsidR="002167CA">
        <w:rPr>
          <w:rFonts w:ascii="Bankinter Sans" w:hAnsi="Bankinter Sans" w:cs="Bankinter"/>
          <w:color w:val="000000" w:themeColor="text1"/>
          <w:sz w:val="20"/>
          <w:szCs w:val="20"/>
        </w:rPr>
        <w:t xml:space="preserve"> Banco</w:t>
      </w:r>
      <w:r w:rsidRPr="00A801E4">
        <w:rPr>
          <w:rFonts w:ascii="Bankinter Sans" w:hAnsi="Bankinter Sans" w:cs="Bankinter"/>
          <w:color w:val="000000" w:themeColor="text1"/>
          <w:sz w:val="20"/>
          <w:szCs w:val="20"/>
        </w:rPr>
        <w:t>, ha captado durante este trimestre 25.000 nuevos clientes.</w:t>
      </w:r>
    </w:p>
    <w:p w:rsidR="00A801E4" w:rsidRPr="00A801E4" w:rsidRDefault="00A801E4" w:rsidP="00A801E4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</w:p>
    <w:p w:rsidR="00A801E4" w:rsidRPr="00A801E4" w:rsidRDefault="00A801E4" w:rsidP="00A801E4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000000" w:themeColor="text1"/>
          <w:sz w:val="20"/>
          <w:szCs w:val="20"/>
        </w:rPr>
      </w:pPr>
      <w:r w:rsidRPr="00A801E4">
        <w:rPr>
          <w:rFonts w:ascii="Bankinter Sans" w:hAnsi="Bankinter Sans" w:cs="Bankinter"/>
          <w:color w:val="000000" w:themeColor="text1"/>
          <w:sz w:val="20"/>
          <w:szCs w:val="20"/>
        </w:rPr>
        <w:t xml:space="preserve">Todas estas líneas de negocio apoyan su crecimiento en el sólido posicionamiento que el banco mantiene en su actividad digital, con un 94,5% de clientes que se relacionan con la entidad de manera digital. Cabe señalar que un 89% de los préstamos al consumo se contratan digitalmente, y que por esta vía se realizan igualmente el 45% de la suscripción de fondos de inversión o incluso el 9% de las hipotecas.  </w:t>
      </w:r>
    </w:p>
    <w:p w:rsidR="00A55EFC" w:rsidRPr="003D5C7B" w:rsidRDefault="00A55EFC" w:rsidP="004A646B">
      <w:pPr>
        <w:autoSpaceDE w:val="0"/>
        <w:autoSpaceDN w:val="0"/>
        <w:adjustRightInd w:val="0"/>
        <w:spacing w:after="0" w:line="240" w:lineRule="auto"/>
        <w:jc w:val="both"/>
        <w:rPr>
          <w:rFonts w:ascii="Bankinter Sans" w:hAnsi="Bankinter Sans" w:cs="Bankinter"/>
          <w:color w:val="C00000"/>
          <w:sz w:val="20"/>
          <w:szCs w:val="20"/>
        </w:rPr>
      </w:pPr>
    </w:p>
    <w:sectPr w:rsidR="00A55EFC" w:rsidRPr="003D5C7B" w:rsidSect="00894AB8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BE9" w:rsidRDefault="00666BE9" w:rsidP="00A2498F">
      <w:pPr>
        <w:spacing w:after="0" w:line="240" w:lineRule="auto"/>
      </w:pPr>
      <w:r>
        <w:separator/>
      </w:r>
    </w:p>
  </w:endnote>
  <w:endnote w:type="continuationSeparator" w:id="0">
    <w:p w:rsidR="00666BE9" w:rsidRDefault="00666BE9" w:rsidP="00A24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nkinter">
    <w:panose1 w:val="00000000000000000000"/>
    <w:charset w:val="00"/>
    <w:family w:val="auto"/>
    <w:pitch w:val="variable"/>
    <w:sig w:usb0="800000AF" w:usb1="1000204B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nkinter Sans">
    <w:panose1 w:val="00000000000000000000"/>
    <w:charset w:val="00"/>
    <w:family w:val="auto"/>
    <w:pitch w:val="variable"/>
    <w:sig w:usb0="800002EF" w:usb1="0000205B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BankinterSans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66720"/>
      <w:docPartObj>
        <w:docPartGallery w:val="Page Numbers (Bottom of Page)"/>
        <w:docPartUnique/>
      </w:docPartObj>
    </w:sdtPr>
    <w:sdtEndPr/>
    <w:sdtContent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322"/>
          <w:gridCol w:w="4322"/>
        </w:tblGrid>
        <w:tr w:rsidR="00666BE9" w:rsidRPr="00A2498F" w:rsidTr="00A2498F">
          <w:tc>
            <w:tcPr>
              <w:tcW w:w="4322" w:type="dxa"/>
            </w:tcPr>
            <w:p w:rsidR="00666BE9" w:rsidRDefault="00666BE9" w:rsidP="00A2498F">
              <w:pPr>
                <w:pStyle w:val="Piedepgina"/>
              </w:pPr>
            </w:p>
          </w:tc>
          <w:tc>
            <w:tcPr>
              <w:tcW w:w="4322" w:type="dxa"/>
            </w:tcPr>
            <w:p w:rsidR="00666BE9" w:rsidRPr="00A2498F" w:rsidRDefault="00666BE9" w:rsidP="00A2498F">
              <w:pPr>
                <w:pStyle w:val="Piedepgina"/>
                <w:jc w:val="right"/>
                <w:rPr>
                  <w:sz w:val="20"/>
                  <w:szCs w:val="20"/>
                </w:rPr>
              </w:pPr>
            </w:p>
          </w:tc>
        </w:tr>
      </w:tbl>
      <w:p w:rsidR="00666BE9" w:rsidRDefault="00C22F6D">
        <w:pPr>
          <w:pStyle w:val="Piedepgina"/>
          <w:jc w:val="right"/>
        </w:pPr>
      </w:p>
    </w:sdtContent>
  </w:sdt>
  <w:p w:rsidR="00666BE9" w:rsidRDefault="00666B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BE9" w:rsidRDefault="00666BE9" w:rsidP="00A2498F">
      <w:pPr>
        <w:spacing w:after="0" w:line="240" w:lineRule="auto"/>
      </w:pPr>
      <w:r>
        <w:separator/>
      </w:r>
    </w:p>
  </w:footnote>
  <w:footnote w:type="continuationSeparator" w:id="0">
    <w:p w:rsidR="00666BE9" w:rsidRDefault="00666BE9" w:rsidP="00A24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E6384"/>
    <w:multiLevelType w:val="hybridMultilevel"/>
    <w:tmpl w:val="262268CC"/>
    <w:lvl w:ilvl="0" w:tplc="87C04F28">
      <w:start w:val="1"/>
      <w:numFmt w:val="decimal"/>
      <w:lvlText w:val="%1-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31C7F"/>
    <w:multiLevelType w:val="hybridMultilevel"/>
    <w:tmpl w:val="B7AE3EAC"/>
    <w:lvl w:ilvl="0" w:tplc="C1E26F48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E02F2"/>
    <w:multiLevelType w:val="hybridMultilevel"/>
    <w:tmpl w:val="3EE67EF2"/>
    <w:lvl w:ilvl="0" w:tplc="AACAB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4E96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45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D6A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03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F48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16C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404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D05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4CE"/>
    <w:rsid w:val="0000726C"/>
    <w:rsid w:val="000110DC"/>
    <w:rsid w:val="00043CD3"/>
    <w:rsid w:val="00060E17"/>
    <w:rsid w:val="000639ED"/>
    <w:rsid w:val="00067D33"/>
    <w:rsid w:val="000756EA"/>
    <w:rsid w:val="00080871"/>
    <w:rsid w:val="000A16A7"/>
    <w:rsid w:val="000A59BD"/>
    <w:rsid w:val="000C33EE"/>
    <w:rsid w:val="000C4D13"/>
    <w:rsid w:val="000E1C32"/>
    <w:rsid w:val="00105CC8"/>
    <w:rsid w:val="00127E18"/>
    <w:rsid w:val="00130076"/>
    <w:rsid w:val="00144949"/>
    <w:rsid w:val="00152186"/>
    <w:rsid w:val="00177015"/>
    <w:rsid w:val="001813C1"/>
    <w:rsid w:val="00184616"/>
    <w:rsid w:val="001A3563"/>
    <w:rsid w:val="001A69E1"/>
    <w:rsid w:val="001E2CB2"/>
    <w:rsid w:val="001F4DD6"/>
    <w:rsid w:val="00202376"/>
    <w:rsid w:val="002167CA"/>
    <w:rsid w:val="002173F8"/>
    <w:rsid w:val="00230FD0"/>
    <w:rsid w:val="00245503"/>
    <w:rsid w:val="002516BD"/>
    <w:rsid w:val="00262AB1"/>
    <w:rsid w:val="00262BAF"/>
    <w:rsid w:val="0027532F"/>
    <w:rsid w:val="00281B00"/>
    <w:rsid w:val="002A0E43"/>
    <w:rsid w:val="002A353E"/>
    <w:rsid w:val="002A4AC2"/>
    <w:rsid w:val="002B24CE"/>
    <w:rsid w:val="002C345E"/>
    <w:rsid w:val="002D1A3D"/>
    <w:rsid w:val="003025B4"/>
    <w:rsid w:val="00306FC7"/>
    <w:rsid w:val="00323411"/>
    <w:rsid w:val="00325BEF"/>
    <w:rsid w:val="003519FE"/>
    <w:rsid w:val="003B4FDB"/>
    <w:rsid w:val="003C5C35"/>
    <w:rsid w:val="003D5C7B"/>
    <w:rsid w:val="0040210C"/>
    <w:rsid w:val="00412D20"/>
    <w:rsid w:val="00416C61"/>
    <w:rsid w:val="004267B3"/>
    <w:rsid w:val="00430C42"/>
    <w:rsid w:val="00432B22"/>
    <w:rsid w:val="004526E2"/>
    <w:rsid w:val="00457014"/>
    <w:rsid w:val="0049153A"/>
    <w:rsid w:val="00493AD6"/>
    <w:rsid w:val="004A646B"/>
    <w:rsid w:val="004A7346"/>
    <w:rsid w:val="004B5E5C"/>
    <w:rsid w:val="004B6011"/>
    <w:rsid w:val="004B6DCE"/>
    <w:rsid w:val="004D6ABC"/>
    <w:rsid w:val="004E111B"/>
    <w:rsid w:val="004F5DE8"/>
    <w:rsid w:val="005211C0"/>
    <w:rsid w:val="00524D7A"/>
    <w:rsid w:val="00541C67"/>
    <w:rsid w:val="005557E1"/>
    <w:rsid w:val="00563227"/>
    <w:rsid w:val="005735D2"/>
    <w:rsid w:val="00582863"/>
    <w:rsid w:val="00594028"/>
    <w:rsid w:val="00594D9D"/>
    <w:rsid w:val="005B4CD4"/>
    <w:rsid w:val="005B62EF"/>
    <w:rsid w:val="005B67E8"/>
    <w:rsid w:val="005E4AE4"/>
    <w:rsid w:val="006071A9"/>
    <w:rsid w:val="00614AB6"/>
    <w:rsid w:val="00617C2C"/>
    <w:rsid w:val="00630CFA"/>
    <w:rsid w:val="00635F56"/>
    <w:rsid w:val="00666BE9"/>
    <w:rsid w:val="006753E7"/>
    <w:rsid w:val="00677C94"/>
    <w:rsid w:val="00680C40"/>
    <w:rsid w:val="006B065A"/>
    <w:rsid w:val="006D0B19"/>
    <w:rsid w:val="006D47D0"/>
    <w:rsid w:val="006E1ABD"/>
    <w:rsid w:val="006E6932"/>
    <w:rsid w:val="006F3B66"/>
    <w:rsid w:val="006F6346"/>
    <w:rsid w:val="00706C4D"/>
    <w:rsid w:val="00707663"/>
    <w:rsid w:val="00713ABE"/>
    <w:rsid w:val="00726B30"/>
    <w:rsid w:val="00756BF7"/>
    <w:rsid w:val="0076725B"/>
    <w:rsid w:val="0077620F"/>
    <w:rsid w:val="00786723"/>
    <w:rsid w:val="007A3CC2"/>
    <w:rsid w:val="007E0682"/>
    <w:rsid w:val="007E0ED8"/>
    <w:rsid w:val="007F5394"/>
    <w:rsid w:val="007F74F0"/>
    <w:rsid w:val="007F7530"/>
    <w:rsid w:val="00810F03"/>
    <w:rsid w:val="0081669D"/>
    <w:rsid w:val="0081686E"/>
    <w:rsid w:val="00842A3E"/>
    <w:rsid w:val="00894AB8"/>
    <w:rsid w:val="008A5DBF"/>
    <w:rsid w:val="008B21F2"/>
    <w:rsid w:val="008B3B5C"/>
    <w:rsid w:val="008C5989"/>
    <w:rsid w:val="008C6D97"/>
    <w:rsid w:val="008D0A23"/>
    <w:rsid w:val="008E11EF"/>
    <w:rsid w:val="008F0977"/>
    <w:rsid w:val="008F4B03"/>
    <w:rsid w:val="009005A3"/>
    <w:rsid w:val="00903022"/>
    <w:rsid w:val="00913786"/>
    <w:rsid w:val="009216AE"/>
    <w:rsid w:val="00946271"/>
    <w:rsid w:val="009513A0"/>
    <w:rsid w:val="009A3886"/>
    <w:rsid w:val="009A3BFD"/>
    <w:rsid w:val="009B6121"/>
    <w:rsid w:val="009C6386"/>
    <w:rsid w:val="00A00C90"/>
    <w:rsid w:val="00A047D5"/>
    <w:rsid w:val="00A202A1"/>
    <w:rsid w:val="00A2498F"/>
    <w:rsid w:val="00A31D24"/>
    <w:rsid w:val="00A53884"/>
    <w:rsid w:val="00A55EFC"/>
    <w:rsid w:val="00A6653A"/>
    <w:rsid w:val="00A801E4"/>
    <w:rsid w:val="00A853C8"/>
    <w:rsid w:val="00A95FD0"/>
    <w:rsid w:val="00AA41A6"/>
    <w:rsid w:val="00AA49A0"/>
    <w:rsid w:val="00AD06BF"/>
    <w:rsid w:val="00AD2CED"/>
    <w:rsid w:val="00AE26A4"/>
    <w:rsid w:val="00AF1C29"/>
    <w:rsid w:val="00AF6FA8"/>
    <w:rsid w:val="00B24E27"/>
    <w:rsid w:val="00B44BAA"/>
    <w:rsid w:val="00B46143"/>
    <w:rsid w:val="00B5175E"/>
    <w:rsid w:val="00B52EF2"/>
    <w:rsid w:val="00B66053"/>
    <w:rsid w:val="00B861AC"/>
    <w:rsid w:val="00BA53FA"/>
    <w:rsid w:val="00BA777C"/>
    <w:rsid w:val="00BB7025"/>
    <w:rsid w:val="00C22C39"/>
    <w:rsid w:val="00C22F6D"/>
    <w:rsid w:val="00C273AD"/>
    <w:rsid w:val="00C3024B"/>
    <w:rsid w:val="00C60413"/>
    <w:rsid w:val="00C62011"/>
    <w:rsid w:val="00C6311B"/>
    <w:rsid w:val="00C66CC7"/>
    <w:rsid w:val="00C7679D"/>
    <w:rsid w:val="00C814AE"/>
    <w:rsid w:val="00C82347"/>
    <w:rsid w:val="00C87440"/>
    <w:rsid w:val="00CA37C1"/>
    <w:rsid w:val="00CA39E2"/>
    <w:rsid w:val="00CB452E"/>
    <w:rsid w:val="00CB7992"/>
    <w:rsid w:val="00CC56D8"/>
    <w:rsid w:val="00CC76F7"/>
    <w:rsid w:val="00CE702D"/>
    <w:rsid w:val="00CE7EA9"/>
    <w:rsid w:val="00D024FE"/>
    <w:rsid w:val="00D05718"/>
    <w:rsid w:val="00D20D08"/>
    <w:rsid w:val="00D46CDB"/>
    <w:rsid w:val="00D516D1"/>
    <w:rsid w:val="00D5556D"/>
    <w:rsid w:val="00D61FB1"/>
    <w:rsid w:val="00D72C10"/>
    <w:rsid w:val="00D957AF"/>
    <w:rsid w:val="00D95F35"/>
    <w:rsid w:val="00D97413"/>
    <w:rsid w:val="00DA1050"/>
    <w:rsid w:val="00DB1EDF"/>
    <w:rsid w:val="00DB37A5"/>
    <w:rsid w:val="00DD00EE"/>
    <w:rsid w:val="00DD1E40"/>
    <w:rsid w:val="00DD276D"/>
    <w:rsid w:val="00DE6CBF"/>
    <w:rsid w:val="00DF0722"/>
    <w:rsid w:val="00E14404"/>
    <w:rsid w:val="00E31A92"/>
    <w:rsid w:val="00E3484D"/>
    <w:rsid w:val="00E35464"/>
    <w:rsid w:val="00E36FDC"/>
    <w:rsid w:val="00E37624"/>
    <w:rsid w:val="00E4371C"/>
    <w:rsid w:val="00E56975"/>
    <w:rsid w:val="00E56E20"/>
    <w:rsid w:val="00E7338D"/>
    <w:rsid w:val="00E977E2"/>
    <w:rsid w:val="00E97909"/>
    <w:rsid w:val="00EA1475"/>
    <w:rsid w:val="00EB0905"/>
    <w:rsid w:val="00EB18A2"/>
    <w:rsid w:val="00EC7149"/>
    <w:rsid w:val="00F566AC"/>
    <w:rsid w:val="00F60E85"/>
    <w:rsid w:val="00F8052B"/>
    <w:rsid w:val="00F8580E"/>
    <w:rsid w:val="00F90AB2"/>
    <w:rsid w:val="00F93F5D"/>
    <w:rsid w:val="00FC1F13"/>
    <w:rsid w:val="00FE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3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3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5D2"/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5D2"/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5735D2"/>
    <w:pPr>
      <w:pBdr>
        <w:bottom w:val="single" w:sz="8" w:space="4" w:color="FFFF9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735D2"/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735D2"/>
    <w:pPr>
      <w:numPr>
        <w:ilvl w:val="1"/>
      </w:numPr>
    </w:pPr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735D2"/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735D2"/>
    <w:rPr>
      <w:b/>
      <w:bCs/>
      <w:i/>
      <w:iCs/>
      <w:color w:val="F56600" w:themeColor="text2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35D2"/>
    <w:pPr>
      <w:pBdr>
        <w:bottom w:val="single" w:sz="4" w:space="4" w:color="FFFF99" w:themeColor="accent1"/>
      </w:pBdr>
      <w:spacing w:before="200" w:after="280"/>
      <w:ind w:left="936" w:right="936"/>
    </w:pPr>
    <w:rPr>
      <w:b/>
      <w:bCs/>
      <w:i/>
      <w:iCs/>
      <w:color w:val="F56600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35D2"/>
    <w:rPr>
      <w:b/>
      <w:bCs/>
      <w:i/>
      <w:iCs/>
      <w:color w:val="F56600" w:themeColor="text2"/>
    </w:rPr>
  </w:style>
  <w:style w:type="table" w:styleId="Tablaconcuadrcula">
    <w:name w:val="Table Grid"/>
    <w:basedOn w:val="Tablanormal"/>
    <w:uiPriority w:val="59"/>
    <w:rsid w:val="0013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ombreadoclaro-nfasis5">
    <w:name w:val="Light Shading Accent 5"/>
    <w:basedOn w:val="Tablanormal"/>
    <w:uiPriority w:val="60"/>
    <w:rsid w:val="00130076"/>
    <w:pPr>
      <w:spacing w:after="0" w:line="240" w:lineRule="auto"/>
    </w:pPr>
    <w:rPr>
      <w:color w:val="000000" w:themeColor="accent5" w:themeShade="BF"/>
    </w:rPr>
    <w:tblPr>
      <w:tblStyleRowBandSize w:val="1"/>
      <w:tblStyleColBandSize w:val="1"/>
      <w:tblBorders>
        <w:top w:val="single" w:sz="8" w:space="0" w:color="000000" w:themeColor="accent5"/>
        <w:bottom w:val="single" w:sz="8" w:space="0" w:color="0000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</w:style>
  <w:style w:type="table" w:styleId="Listaclara-nfasis2">
    <w:name w:val="Light List Accent 2"/>
    <w:aliases w:val="Bankinter Naranja"/>
    <w:basedOn w:val="Tablanormal"/>
    <w:uiPriority w:val="61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56600" w:themeColor="accent2"/>
        <w:left w:val="single" w:sz="8" w:space="0" w:color="F56600" w:themeColor="accent2"/>
        <w:bottom w:val="single" w:sz="8" w:space="0" w:color="F56600" w:themeColor="accent2"/>
        <w:right w:val="single" w:sz="8" w:space="0" w:color="F566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band1Horz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</w:style>
  <w:style w:type="table" w:styleId="Sombreadomedio1-nfasis2">
    <w:name w:val="Medium Shading 1 Accent 2"/>
    <w:aliases w:val="Bankinter Pijama"/>
    <w:basedOn w:val="Tablanormal"/>
    <w:uiPriority w:val="63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F8A38" w:themeColor="accent2" w:themeTint="BF"/>
        <w:left w:val="single" w:sz="8" w:space="0" w:color="FF8A38" w:themeColor="accent2" w:themeTint="BF"/>
        <w:bottom w:val="single" w:sz="8" w:space="0" w:color="FF8A38" w:themeColor="accent2" w:themeTint="BF"/>
        <w:right w:val="single" w:sz="8" w:space="0" w:color="FF8A38" w:themeColor="accent2" w:themeTint="BF"/>
        <w:insideH w:val="single" w:sz="8" w:space="0" w:color="FF8A3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130076"/>
    <w:pPr>
      <w:spacing w:after="0" w:line="240" w:lineRule="auto"/>
    </w:p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66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498F"/>
  </w:style>
  <w:style w:type="paragraph" w:styleId="Piedepgina">
    <w:name w:val="footer"/>
    <w:basedOn w:val="Normal"/>
    <w:link w:val="Piedepgina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498F"/>
  </w:style>
  <w:style w:type="paragraph" w:styleId="Textodeglobo">
    <w:name w:val="Balloon Text"/>
    <w:basedOn w:val="Normal"/>
    <w:link w:val="TextodegloboCar"/>
    <w:uiPriority w:val="99"/>
    <w:semiHidden/>
    <w:unhideWhenUsed/>
    <w:rsid w:val="00A2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98F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0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C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3024B"/>
    <w:pPr>
      <w:spacing w:after="0" w:line="240" w:lineRule="auto"/>
      <w:ind w:left="720"/>
    </w:pPr>
    <w:rPr>
      <w:rFonts w:ascii="Calibri" w:eastAsiaTheme="minorHAnsi" w:hAnsi="Calibri" w:cs="Times New Roman"/>
      <w:lang w:val="es-ES_tradnl" w:eastAsia="es-ES_tradnl"/>
    </w:rPr>
  </w:style>
  <w:style w:type="table" w:customStyle="1" w:styleId="BankinterPijama1">
    <w:name w:val="Bankinter Pijama1"/>
    <w:basedOn w:val="Tablanormal"/>
    <w:next w:val="Sombreadomedio1-nfasis2"/>
    <w:uiPriority w:val="63"/>
    <w:rsid w:val="00DD00EE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F8A38"/>
        <w:left w:val="single" w:sz="8" w:space="0" w:color="FF8A38"/>
        <w:bottom w:val="single" w:sz="8" w:space="0" w:color="FF8A38"/>
        <w:right w:val="single" w:sz="8" w:space="0" w:color="FF8A38"/>
        <w:insideH w:val="single" w:sz="8" w:space="0" w:color="FF8A3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  <w:shd w:val="clear" w:color="auto" w:fill="F566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0571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7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71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4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3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3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5D2"/>
    <w:rPr>
      <w:rFonts w:asciiTheme="majorHAnsi" w:eastAsiaTheme="majorEastAsia" w:hAnsiTheme="majorHAnsi" w:cstheme="majorBidi"/>
      <w:b/>
      <w:bCs/>
      <w:color w:val="F56600" w:themeColor="text2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5D2"/>
    <w:rPr>
      <w:rFonts w:asciiTheme="majorHAnsi" w:eastAsiaTheme="majorEastAsia" w:hAnsiTheme="majorHAnsi" w:cstheme="majorBidi"/>
      <w:b/>
      <w:bCs/>
      <w:color w:val="F56600" w:themeColor="text2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5735D2"/>
    <w:pPr>
      <w:pBdr>
        <w:bottom w:val="single" w:sz="8" w:space="4" w:color="FFFF9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735D2"/>
    <w:rPr>
      <w:rFonts w:asciiTheme="majorHAnsi" w:eastAsiaTheme="majorEastAsia" w:hAnsiTheme="majorHAnsi" w:cstheme="majorBidi"/>
      <w:color w:val="63544A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735D2"/>
    <w:pPr>
      <w:numPr>
        <w:ilvl w:val="1"/>
      </w:numPr>
    </w:pPr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735D2"/>
    <w:rPr>
      <w:rFonts w:asciiTheme="majorHAnsi" w:eastAsiaTheme="majorEastAsia" w:hAnsiTheme="majorHAnsi" w:cstheme="majorBidi"/>
      <w:i/>
      <w:iCs/>
      <w:color w:val="F56600" w:themeColor="text2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735D2"/>
    <w:rPr>
      <w:b/>
      <w:bCs/>
      <w:i/>
      <w:iCs/>
      <w:color w:val="F56600" w:themeColor="text2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35D2"/>
    <w:pPr>
      <w:pBdr>
        <w:bottom w:val="single" w:sz="4" w:space="4" w:color="FFFF99" w:themeColor="accent1"/>
      </w:pBdr>
      <w:spacing w:before="200" w:after="280"/>
      <w:ind w:left="936" w:right="936"/>
    </w:pPr>
    <w:rPr>
      <w:b/>
      <w:bCs/>
      <w:i/>
      <w:iCs/>
      <w:color w:val="F56600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35D2"/>
    <w:rPr>
      <w:b/>
      <w:bCs/>
      <w:i/>
      <w:iCs/>
      <w:color w:val="F56600" w:themeColor="text2"/>
    </w:rPr>
  </w:style>
  <w:style w:type="table" w:styleId="Tablaconcuadrcula">
    <w:name w:val="Table Grid"/>
    <w:basedOn w:val="Tablanormal"/>
    <w:uiPriority w:val="59"/>
    <w:rsid w:val="0013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ombreadoclaro-nfasis5">
    <w:name w:val="Light Shading Accent 5"/>
    <w:basedOn w:val="Tablanormal"/>
    <w:uiPriority w:val="60"/>
    <w:rsid w:val="00130076"/>
    <w:pPr>
      <w:spacing w:after="0" w:line="240" w:lineRule="auto"/>
    </w:pPr>
    <w:rPr>
      <w:color w:val="000000" w:themeColor="accent5" w:themeShade="BF"/>
    </w:rPr>
    <w:tblPr>
      <w:tblStyleRowBandSize w:val="1"/>
      <w:tblStyleColBandSize w:val="1"/>
      <w:tblBorders>
        <w:top w:val="single" w:sz="8" w:space="0" w:color="000000" w:themeColor="accent5"/>
        <w:bottom w:val="single" w:sz="8" w:space="0" w:color="0000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5"/>
          <w:left w:val="nil"/>
          <w:bottom w:val="single" w:sz="8" w:space="0" w:color="0000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5" w:themeFillTint="3F"/>
      </w:tcPr>
    </w:tblStylePr>
  </w:style>
  <w:style w:type="table" w:styleId="Listaclara-nfasis2">
    <w:name w:val="Light List Accent 2"/>
    <w:aliases w:val="Bankinter Naranja"/>
    <w:basedOn w:val="Tablanormal"/>
    <w:uiPriority w:val="61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56600" w:themeColor="accent2"/>
        <w:left w:val="single" w:sz="8" w:space="0" w:color="F56600" w:themeColor="accent2"/>
        <w:bottom w:val="single" w:sz="8" w:space="0" w:color="F56600" w:themeColor="accent2"/>
        <w:right w:val="single" w:sz="8" w:space="0" w:color="F566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  <w:tblStylePr w:type="band1Horz">
      <w:tblPr/>
      <w:tcPr>
        <w:tcBorders>
          <w:top w:val="single" w:sz="8" w:space="0" w:color="F56600" w:themeColor="accent2"/>
          <w:left w:val="single" w:sz="8" w:space="0" w:color="F56600" w:themeColor="accent2"/>
          <w:bottom w:val="single" w:sz="8" w:space="0" w:color="F56600" w:themeColor="accent2"/>
          <w:right w:val="single" w:sz="8" w:space="0" w:color="F56600" w:themeColor="accent2"/>
        </w:tcBorders>
      </w:tcPr>
    </w:tblStylePr>
  </w:style>
  <w:style w:type="table" w:styleId="Sombreadomedio1-nfasis2">
    <w:name w:val="Medium Shading 1 Accent 2"/>
    <w:aliases w:val="Bankinter Pijama"/>
    <w:basedOn w:val="Tablanormal"/>
    <w:uiPriority w:val="63"/>
    <w:rsid w:val="00130076"/>
    <w:pPr>
      <w:spacing w:after="0" w:line="240" w:lineRule="auto"/>
    </w:pPr>
    <w:tblPr>
      <w:tblStyleRowBandSize w:val="1"/>
      <w:tblStyleColBandSize w:val="1"/>
      <w:tblBorders>
        <w:top w:val="single" w:sz="8" w:space="0" w:color="FF8A38" w:themeColor="accent2" w:themeTint="BF"/>
        <w:left w:val="single" w:sz="8" w:space="0" w:color="FF8A38" w:themeColor="accent2" w:themeTint="BF"/>
        <w:bottom w:val="single" w:sz="8" w:space="0" w:color="FF8A38" w:themeColor="accent2" w:themeTint="BF"/>
        <w:right w:val="single" w:sz="8" w:space="0" w:color="FF8A38" w:themeColor="accent2" w:themeTint="BF"/>
        <w:insideH w:val="single" w:sz="8" w:space="0" w:color="FF8A3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 w:themeColor="accent2" w:themeTint="BF"/>
          <w:left w:val="single" w:sz="8" w:space="0" w:color="FF8A38" w:themeColor="accent2" w:themeTint="BF"/>
          <w:bottom w:val="single" w:sz="8" w:space="0" w:color="FF8A38" w:themeColor="accent2" w:themeTint="BF"/>
          <w:right w:val="single" w:sz="8" w:space="0" w:color="FF8A3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130076"/>
    <w:pPr>
      <w:spacing w:after="0" w:line="240" w:lineRule="auto"/>
    </w:p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66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66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498F"/>
  </w:style>
  <w:style w:type="paragraph" w:styleId="Piedepgina">
    <w:name w:val="footer"/>
    <w:basedOn w:val="Normal"/>
    <w:link w:val="PiedepginaCar"/>
    <w:uiPriority w:val="99"/>
    <w:unhideWhenUsed/>
    <w:rsid w:val="00A24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498F"/>
  </w:style>
  <w:style w:type="paragraph" w:styleId="Textodeglobo">
    <w:name w:val="Balloon Text"/>
    <w:basedOn w:val="Normal"/>
    <w:link w:val="TextodegloboCar"/>
    <w:uiPriority w:val="99"/>
    <w:semiHidden/>
    <w:unhideWhenUsed/>
    <w:rsid w:val="00A24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98F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0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C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3024B"/>
    <w:pPr>
      <w:spacing w:after="0" w:line="240" w:lineRule="auto"/>
      <w:ind w:left="720"/>
    </w:pPr>
    <w:rPr>
      <w:rFonts w:ascii="Calibri" w:eastAsiaTheme="minorHAnsi" w:hAnsi="Calibri" w:cs="Times New Roman"/>
      <w:lang w:val="es-ES_tradnl" w:eastAsia="es-ES_tradnl"/>
    </w:rPr>
  </w:style>
  <w:style w:type="table" w:customStyle="1" w:styleId="BankinterPijama1">
    <w:name w:val="Bankinter Pijama1"/>
    <w:basedOn w:val="Tablanormal"/>
    <w:next w:val="Sombreadomedio1-nfasis2"/>
    <w:uiPriority w:val="63"/>
    <w:rsid w:val="00DD00EE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F8A38"/>
        <w:left w:val="single" w:sz="8" w:space="0" w:color="FF8A38"/>
        <w:bottom w:val="single" w:sz="8" w:space="0" w:color="FF8A38"/>
        <w:right w:val="single" w:sz="8" w:space="0" w:color="FF8A38"/>
        <w:insideH w:val="single" w:sz="8" w:space="0" w:color="FF8A3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  <w:shd w:val="clear" w:color="auto" w:fill="F566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A38"/>
          <w:left w:val="single" w:sz="8" w:space="0" w:color="FF8A38"/>
          <w:bottom w:val="single" w:sz="8" w:space="0" w:color="FF8A38"/>
          <w:right w:val="single" w:sz="8" w:space="0" w:color="FF8A3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BD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8BD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D0571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7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71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44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7939">
          <w:marLeft w:val="116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7202">
          <w:marLeft w:val="116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5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ankinter">
  <a:themeElements>
    <a:clrScheme name="Bankinter">
      <a:dk1>
        <a:srgbClr val="000000"/>
      </a:dk1>
      <a:lt1>
        <a:srgbClr val="FFFFFF"/>
      </a:lt1>
      <a:dk2>
        <a:srgbClr val="F56600"/>
      </a:dk2>
      <a:lt2>
        <a:srgbClr val="B5D9DE"/>
      </a:lt2>
      <a:accent1>
        <a:srgbClr val="FFFF99"/>
      </a:accent1>
      <a:accent2>
        <a:srgbClr val="F56600"/>
      </a:accent2>
      <a:accent3>
        <a:srgbClr val="FFFFFF"/>
      </a:accent3>
      <a:accent4>
        <a:srgbClr val="B5D9DE"/>
      </a:accent4>
      <a:accent5>
        <a:srgbClr val="000000"/>
      </a:accent5>
      <a:accent6>
        <a:srgbClr val="D2E8EB"/>
      </a:accent6>
      <a:hlink>
        <a:srgbClr val="F56600"/>
      </a:hlink>
      <a:folHlink>
        <a:srgbClr val="63544A"/>
      </a:folHlink>
    </a:clrScheme>
    <a:fontScheme name="Bankinter">
      <a:majorFont>
        <a:latin typeface="Bankinter"/>
        <a:ea typeface=""/>
        <a:cs typeface=""/>
      </a:majorFont>
      <a:minorFont>
        <a:latin typeface="Bankinte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1574</Words>
  <Characters>8662</Characters>
  <Application>Microsoft Office Word</Application>
  <DocSecurity>0</DocSecurity>
  <Lines>72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Marca</vt:lpstr>
      <vt:lpstr>Marca</vt:lpstr>
    </vt:vector>
  </TitlesOfParts>
  <Company>Bankinter</Company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</dc:title>
  <dc:creator>Bankinter</dc:creator>
  <cp:lastModifiedBy>Ana Ramirez Cogollor</cp:lastModifiedBy>
  <cp:revision>5</cp:revision>
  <cp:lastPrinted>2019-04-24T14:02:00Z</cp:lastPrinted>
  <dcterms:created xsi:type="dcterms:W3CDTF">2019-10-30T08:16:00Z</dcterms:created>
  <dcterms:modified xsi:type="dcterms:W3CDTF">2019-10-30T14:04:00Z</dcterms:modified>
</cp:coreProperties>
</file>