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CEA" w:rsidRDefault="00DE0CEA" w:rsidP="00DE0CEA">
      <w:pPr>
        <w:autoSpaceDE w:val="0"/>
        <w:autoSpaceDN w:val="0"/>
        <w:adjustRightInd w:val="0"/>
        <w:spacing w:after="0" w:line="240" w:lineRule="auto"/>
        <w:ind w:left="708" w:hanging="708"/>
        <w:rPr>
          <w:rFonts w:asciiTheme="majorHAnsi" w:hAnsiTheme="majorHAnsi" w:cs="Tahoma"/>
          <w:noProof/>
          <w:color w:val="000000"/>
          <w:sz w:val="32"/>
          <w:szCs w:val="32"/>
          <w:lang w:eastAsia="es-ES"/>
        </w:rPr>
      </w:pPr>
    </w:p>
    <w:p w:rsidR="00DE0CEA" w:rsidRDefault="00DE0CEA" w:rsidP="00DE0CEA">
      <w:pPr>
        <w:autoSpaceDE w:val="0"/>
        <w:autoSpaceDN w:val="0"/>
        <w:adjustRightInd w:val="0"/>
        <w:spacing w:after="0" w:line="240" w:lineRule="auto"/>
        <w:ind w:left="708" w:hanging="708"/>
        <w:rPr>
          <w:rFonts w:asciiTheme="majorHAnsi" w:hAnsiTheme="majorHAnsi" w:cs="Tahoma"/>
          <w:color w:val="000000"/>
          <w:sz w:val="32"/>
          <w:szCs w:val="32"/>
        </w:rPr>
      </w:pPr>
    </w:p>
    <w:p w:rsidR="00DE0CEA" w:rsidRPr="00AC2113" w:rsidRDefault="00DE0CEA" w:rsidP="00DE0CEA">
      <w:pPr>
        <w:autoSpaceDE w:val="0"/>
        <w:autoSpaceDN w:val="0"/>
        <w:adjustRightInd w:val="0"/>
        <w:spacing w:after="0" w:line="240" w:lineRule="auto"/>
        <w:rPr>
          <w:rFonts w:asciiTheme="majorHAnsi" w:hAnsiTheme="majorHAnsi" w:cs="Tahoma"/>
          <w:color w:val="000000"/>
          <w:sz w:val="16"/>
          <w:szCs w:val="16"/>
        </w:rPr>
      </w:pPr>
    </w:p>
    <w:p w:rsidR="00DE0CEA" w:rsidRPr="00DE0CEA" w:rsidRDefault="00DE0CEA" w:rsidP="00DE0CEA">
      <w:pPr>
        <w:spacing w:after="0" w:line="240" w:lineRule="auto"/>
        <w:jc w:val="both"/>
        <w:rPr>
          <w:rFonts w:ascii="Bankinter" w:hAnsi="Bankinter"/>
        </w:rPr>
      </w:pPr>
    </w:p>
    <w:p w:rsidR="00DE0CEA" w:rsidRPr="00DE0CEA" w:rsidRDefault="00DE0CEA" w:rsidP="00DE0CEA">
      <w:pPr>
        <w:spacing w:after="0" w:line="240" w:lineRule="auto"/>
        <w:jc w:val="both"/>
        <w:rPr>
          <w:rFonts w:ascii="Bankinter" w:hAnsi="Bankinter" w:cs="Bankinter"/>
          <w:color w:val="000000" w:themeColor="text1"/>
          <w:sz w:val="20"/>
          <w:szCs w:val="20"/>
          <w:lang w:val="es-ES_tradnl"/>
        </w:rPr>
      </w:pPr>
      <w:bookmarkStart w:id="0" w:name="_GoBack"/>
      <w:bookmarkEnd w:id="0"/>
      <w:r w:rsidRPr="00DE0CEA">
        <w:rPr>
          <w:rFonts w:ascii="Bankinter" w:hAnsi="Bankinter" w:cs="Bankinter"/>
          <w:color w:val="000000" w:themeColor="text1"/>
          <w:sz w:val="20"/>
          <w:szCs w:val="20"/>
        </w:rPr>
        <w:t xml:space="preserve">El Grupo Bankinter </w:t>
      </w:r>
      <w:r w:rsidRPr="00DE0CEA">
        <w:rPr>
          <w:rFonts w:ascii="Bankinter" w:hAnsi="Bankinter"/>
          <w:color w:val="000000" w:themeColor="text1"/>
          <w:sz w:val="20"/>
          <w:szCs w:val="20"/>
        </w:rPr>
        <w:t xml:space="preserve">alcanza al cierre del tercer trimestre de 2015 </w:t>
      </w:r>
      <w:r w:rsidRPr="00DE0CEA">
        <w:rPr>
          <w:rFonts w:ascii="Bankinter" w:hAnsi="Bankinter" w:cs="Bankinter"/>
          <w:color w:val="000000" w:themeColor="text1"/>
          <w:sz w:val="20"/>
          <w:szCs w:val="20"/>
        </w:rPr>
        <w:t>un beneficio neto acumulado de 299,5</w:t>
      </w:r>
      <w:r w:rsidRPr="00DE0CEA">
        <w:rPr>
          <w:rFonts w:ascii="Bankinter" w:hAnsi="Bankinter" w:cs="Bankinter"/>
          <w:color w:val="000000" w:themeColor="text1"/>
          <w:sz w:val="20"/>
          <w:szCs w:val="20"/>
          <w:lang w:val="es-ES_tradnl"/>
        </w:rPr>
        <w:t xml:space="preserve"> millones de euros y un beneficio antes de impuestos de 419,1 millones, lo que significa incrementos del 30,8% y 28,1%, respectivamente, sobre el mismo periodo del ejercicio precedente.</w:t>
      </w:r>
    </w:p>
    <w:p w:rsidR="00DE0CEA" w:rsidRPr="00DE0CEA" w:rsidRDefault="00DE0CEA" w:rsidP="00DE0CEA">
      <w:pPr>
        <w:spacing w:after="0" w:line="240" w:lineRule="auto"/>
        <w:jc w:val="both"/>
        <w:rPr>
          <w:rFonts w:ascii="Bankinter" w:hAnsi="Bankinter" w:cs="Bankinter"/>
          <w:color w:val="000000" w:themeColor="text1"/>
          <w:sz w:val="20"/>
          <w:szCs w:val="20"/>
          <w:lang w:val="es-ES_tradnl"/>
        </w:rPr>
      </w:pPr>
    </w:p>
    <w:p w:rsidR="00DE0CEA" w:rsidRPr="00DE0CEA" w:rsidRDefault="00DE0CEA" w:rsidP="00DE0CEA">
      <w:pPr>
        <w:spacing w:after="0" w:line="240" w:lineRule="auto"/>
        <w:jc w:val="both"/>
        <w:rPr>
          <w:rFonts w:ascii="Bankinter" w:hAnsi="Bankinter" w:cs="Bankinter"/>
          <w:color w:val="000000" w:themeColor="text1"/>
          <w:sz w:val="20"/>
          <w:szCs w:val="20"/>
        </w:rPr>
      </w:pPr>
      <w:r w:rsidRPr="00DE0CEA">
        <w:rPr>
          <w:rFonts w:ascii="Bankinter" w:hAnsi="Bankinter" w:cs="Bankinter"/>
          <w:color w:val="000000" w:themeColor="text1"/>
          <w:sz w:val="20"/>
          <w:szCs w:val="20"/>
          <w:lang w:val="es-ES_tradnl"/>
        </w:rPr>
        <w:t>En línea con la tendencia de crecimiento de anteriores trimestres, estos</w:t>
      </w:r>
      <w:r w:rsidRPr="00DE0CEA">
        <w:rPr>
          <w:rFonts w:ascii="Bankinter" w:hAnsi="Bankinter" w:cs="Bankinter"/>
          <w:color w:val="000000" w:themeColor="text1"/>
          <w:sz w:val="20"/>
          <w:szCs w:val="20"/>
        </w:rPr>
        <w:t xml:space="preserve"> resultados están basados en el negocio recurrente de clientes, que sigue siendo el mayor contribuidor a los ingresos, con un 84%, lo que lleva a obtener una alta rentabilidad sobre el capital, con un ROE del 10,7% anualizado.</w:t>
      </w:r>
    </w:p>
    <w:p w:rsidR="00DE0CEA" w:rsidRPr="00DE0CEA" w:rsidRDefault="00DE0CEA" w:rsidP="00DE0CEA">
      <w:pPr>
        <w:spacing w:after="0" w:line="240" w:lineRule="auto"/>
        <w:jc w:val="both"/>
        <w:rPr>
          <w:rFonts w:ascii="Bankinter" w:hAnsi="Bankinter" w:cs="Bankinter"/>
          <w:color w:val="000000" w:themeColor="text1"/>
          <w:sz w:val="20"/>
          <w:szCs w:val="20"/>
        </w:rPr>
      </w:pPr>
    </w:p>
    <w:p w:rsidR="00DE0CEA" w:rsidRPr="00DE0CEA" w:rsidRDefault="00DE0CEA" w:rsidP="00DE0CEA">
      <w:pPr>
        <w:spacing w:after="0" w:line="240" w:lineRule="auto"/>
        <w:jc w:val="both"/>
        <w:rPr>
          <w:rFonts w:ascii="Bankinter" w:hAnsi="Bankinter" w:cs="Bankinter"/>
          <w:color w:val="000000" w:themeColor="text1"/>
          <w:sz w:val="20"/>
          <w:szCs w:val="20"/>
        </w:rPr>
      </w:pPr>
      <w:r w:rsidRPr="00DE0CEA">
        <w:rPr>
          <w:rFonts w:ascii="Bankinter" w:hAnsi="Bankinter" w:cs="Bankinter"/>
          <w:color w:val="000000" w:themeColor="text1"/>
          <w:sz w:val="20"/>
          <w:szCs w:val="20"/>
        </w:rPr>
        <w:t>Paralelamente, Bankinter mantiene su tradicional ventaja competitiva en términos de calidad de activos y nivel de solvencia.</w:t>
      </w:r>
    </w:p>
    <w:p w:rsidR="00DE0CEA" w:rsidRPr="00DE0CEA" w:rsidRDefault="00DE0CEA" w:rsidP="00DE0CEA">
      <w:pPr>
        <w:spacing w:after="0" w:line="240" w:lineRule="auto"/>
        <w:jc w:val="both"/>
        <w:rPr>
          <w:rFonts w:ascii="Bankinter" w:hAnsi="Bankinter" w:cs="Bankinter"/>
          <w:color w:val="000000" w:themeColor="text1"/>
          <w:sz w:val="20"/>
          <w:szCs w:val="20"/>
        </w:rPr>
      </w:pPr>
    </w:p>
    <w:p w:rsidR="00DE0CEA" w:rsidRPr="00DE0CEA" w:rsidRDefault="00DE0CEA" w:rsidP="00DE0CEA">
      <w:pPr>
        <w:spacing w:after="0" w:line="240" w:lineRule="auto"/>
        <w:jc w:val="both"/>
        <w:rPr>
          <w:rFonts w:ascii="Bankinter" w:hAnsi="Bankinter" w:cs="Bankinter"/>
          <w:color w:val="000000" w:themeColor="text1"/>
          <w:sz w:val="20"/>
          <w:szCs w:val="20"/>
        </w:rPr>
      </w:pPr>
      <w:r w:rsidRPr="00DE0CEA">
        <w:rPr>
          <w:rFonts w:ascii="Bankinter" w:hAnsi="Bankinter" w:cs="Bankinter"/>
          <w:color w:val="000000" w:themeColor="text1"/>
          <w:sz w:val="20"/>
          <w:szCs w:val="20"/>
        </w:rPr>
        <w:t>Así, Bankinter reduce su tasa de morosidad por sexto trimestre consecutivo, hasta situarla en el 4,35% frente al 4,96% de hace un año; un ratio que compara muy bien con la media sectorial, que según los últimos datos publicados al cierre de agosto, repuntó levemente hasta el 10,95%.</w:t>
      </w:r>
    </w:p>
    <w:p w:rsidR="00DE0CEA" w:rsidRPr="00DE0CEA" w:rsidRDefault="00DE0CEA" w:rsidP="00DE0CEA">
      <w:pPr>
        <w:spacing w:after="0" w:line="240" w:lineRule="auto"/>
        <w:jc w:val="both"/>
        <w:rPr>
          <w:rFonts w:ascii="Bankinter" w:hAnsi="Bankinter" w:cs="Bankinter"/>
          <w:color w:val="000000" w:themeColor="text1"/>
          <w:sz w:val="20"/>
          <w:szCs w:val="20"/>
        </w:rPr>
      </w:pPr>
    </w:p>
    <w:p w:rsidR="00DE0CEA" w:rsidRPr="00DE0CEA" w:rsidRDefault="00DE0CEA" w:rsidP="00DE0CEA">
      <w:pPr>
        <w:spacing w:after="0" w:line="240" w:lineRule="auto"/>
        <w:jc w:val="both"/>
        <w:rPr>
          <w:rFonts w:ascii="Bankinter" w:hAnsi="Bankinter" w:cs="BankinterText-Regular"/>
          <w:color w:val="000000" w:themeColor="text1"/>
          <w:sz w:val="20"/>
          <w:szCs w:val="20"/>
        </w:rPr>
      </w:pPr>
      <w:r w:rsidRPr="00BF0BB7">
        <w:rPr>
          <w:rFonts w:ascii="Bankinter" w:hAnsi="Bankinter" w:cs="Bankinter"/>
          <w:color w:val="000000" w:themeColor="text1"/>
          <w:sz w:val="20"/>
          <w:szCs w:val="20"/>
        </w:rPr>
        <w:t xml:space="preserve">Además, </w:t>
      </w:r>
      <w:r w:rsidR="001C04A9">
        <w:rPr>
          <w:rFonts w:ascii="Bankinter" w:hAnsi="Bankinter" w:cs="Bankinter"/>
          <w:color w:val="000000" w:themeColor="text1"/>
          <w:sz w:val="20"/>
          <w:szCs w:val="20"/>
        </w:rPr>
        <w:t>l</w:t>
      </w:r>
      <w:r w:rsidRPr="00BF0BB7">
        <w:rPr>
          <w:rFonts w:ascii="Bankinter" w:hAnsi="Bankinter" w:cs="Bankinter"/>
          <w:color w:val="000000" w:themeColor="text1"/>
          <w:sz w:val="20"/>
          <w:szCs w:val="20"/>
        </w:rPr>
        <w:t xml:space="preserve">a cartera </w:t>
      </w:r>
      <w:r w:rsidRPr="00DE0CEA">
        <w:rPr>
          <w:rFonts w:ascii="Bankinter" w:hAnsi="Bankinter" w:cs="Bankinter"/>
          <w:color w:val="000000" w:themeColor="text1"/>
          <w:sz w:val="20"/>
          <w:szCs w:val="20"/>
        </w:rPr>
        <w:t xml:space="preserve">de activos </w:t>
      </w:r>
      <w:r w:rsidRPr="00DE0CEA">
        <w:rPr>
          <w:rFonts w:ascii="Bankinter" w:hAnsi="Bankinter" w:cs="BankinterText-Regular"/>
          <w:color w:val="000000" w:themeColor="text1"/>
          <w:sz w:val="20"/>
          <w:szCs w:val="20"/>
        </w:rPr>
        <w:t>inmobiliarios adjudicados tiene a 30 de septiembre de 2015 un valor bruto de 546 millones de euros, un 8% menos que un año atrás, y con una cobertura del 39,4%.</w:t>
      </w:r>
    </w:p>
    <w:p w:rsidR="00DE0CEA" w:rsidRPr="00DE0CEA" w:rsidRDefault="00DE0CEA" w:rsidP="00DE0CEA">
      <w:pPr>
        <w:spacing w:after="0" w:line="240" w:lineRule="auto"/>
        <w:jc w:val="both"/>
        <w:rPr>
          <w:rFonts w:ascii="Bankinter" w:hAnsi="Bankinter" w:cs="BankinterText-Regular"/>
          <w:color w:val="000000" w:themeColor="text1"/>
          <w:sz w:val="20"/>
          <w:szCs w:val="20"/>
        </w:rPr>
      </w:pPr>
    </w:p>
    <w:p w:rsidR="00DE0CEA" w:rsidRPr="00DE0CEA" w:rsidRDefault="00DE0CEA" w:rsidP="00DE0CEA">
      <w:pPr>
        <w:spacing w:after="0" w:line="240" w:lineRule="auto"/>
        <w:jc w:val="both"/>
        <w:rPr>
          <w:rFonts w:ascii="Bankinter" w:hAnsi="Bankinter" w:cs="Bankinter"/>
          <w:color w:val="0070C0"/>
          <w:sz w:val="20"/>
          <w:szCs w:val="20"/>
        </w:rPr>
      </w:pPr>
      <w:r w:rsidRPr="00DE0CEA">
        <w:rPr>
          <w:rFonts w:ascii="Bankinter" w:hAnsi="Bankinter" w:cs="Bankinter"/>
          <w:color w:val="000000" w:themeColor="text1"/>
          <w:sz w:val="20"/>
          <w:szCs w:val="20"/>
        </w:rPr>
        <w:t xml:space="preserve">Por lo que se refiere a la solvencia, Bankinter mantiene un sólido ratio de capital CET1 </w:t>
      </w:r>
      <w:proofErr w:type="spellStart"/>
      <w:r w:rsidRPr="00DE0CEA">
        <w:rPr>
          <w:rFonts w:ascii="Bankinter" w:hAnsi="Bankinter" w:cs="Bankinter"/>
          <w:color w:val="000000" w:themeColor="text1"/>
          <w:sz w:val="20"/>
          <w:szCs w:val="20"/>
        </w:rPr>
        <w:t>fully</w:t>
      </w:r>
      <w:proofErr w:type="spellEnd"/>
      <w:r w:rsidRPr="00DE0CEA">
        <w:rPr>
          <w:rFonts w:ascii="Bankinter" w:hAnsi="Bankinter" w:cs="Bankinter"/>
          <w:color w:val="000000" w:themeColor="text1"/>
          <w:sz w:val="20"/>
          <w:szCs w:val="20"/>
        </w:rPr>
        <w:t xml:space="preserve"> </w:t>
      </w:r>
      <w:proofErr w:type="spellStart"/>
      <w:r w:rsidRPr="00DE0CEA">
        <w:rPr>
          <w:rFonts w:ascii="Bankinter" w:hAnsi="Bankinter" w:cs="Bankinter"/>
          <w:color w:val="000000" w:themeColor="text1"/>
          <w:sz w:val="20"/>
          <w:szCs w:val="20"/>
        </w:rPr>
        <w:t>loaded</w:t>
      </w:r>
      <w:proofErr w:type="spellEnd"/>
      <w:r w:rsidRPr="00DE0CEA">
        <w:rPr>
          <w:rFonts w:ascii="Bankinter" w:hAnsi="Bankinter" w:cs="Bankinter"/>
          <w:color w:val="000000" w:themeColor="text1"/>
          <w:sz w:val="20"/>
          <w:szCs w:val="20"/>
        </w:rPr>
        <w:t xml:space="preserve"> del 11,5%, por encima de las exigencias regulatorias</w:t>
      </w:r>
      <w:r w:rsidRPr="00DE0CEA">
        <w:rPr>
          <w:rFonts w:ascii="Bankinter" w:hAnsi="Bankinter" w:cs="Bankinter"/>
          <w:color w:val="0070C0"/>
          <w:sz w:val="20"/>
          <w:szCs w:val="20"/>
        </w:rPr>
        <w:t>.</w:t>
      </w:r>
    </w:p>
    <w:p w:rsidR="00DE0CEA" w:rsidRPr="00DE0CEA" w:rsidRDefault="00DE0CEA" w:rsidP="00DE0CEA">
      <w:pPr>
        <w:spacing w:after="0" w:line="240" w:lineRule="auto"/>
        <w:jc w:val="both"/>
        <w:rPr>
          <w:rFonts w:ascii="Bankinter" w:hAnsi="Bankinter" w:cs="Bankinter"/>
          <w:color w:val="0070C0"/>
          <w:sz w:val="20"/>
          <w:szCs w:val="20"/>
        </w:rPr>
      </w:pPr>
    </w:p>
    <w:p w:rsidR="00DE0CEA" w:rsidRPr="00DE0CEA" w:rsidRDefault="00DE0CEA" w:rsidP="00DE0CEA">
      <w:pPr>
        <w:spacing w:after="0" w:line="240" w:lineRule="auto"/>
        <w:jc w:val="both"/>
        <w:rPr>
          <w:rFonts w:ascii="Bankinter" w:hAnsi="Bankinter" w:cs="Bankinter"/>
          <w:color w:val="000000" w:themeColor="text1"/>
          <w:sz w:val="20"/>
          <w:szCs w:val="20"/>
        </w:rPr>
      </w:pPr>
      <w:r w:rsidRPr="00DE0CEA">
        <w:rPr>
          <w:rFonts w:ascii="Bankinter" w:hAnsi="Bankinter" w:cs="Bankinter"/>
          <w:color w:val="000000" w:themeColor="text1"/>
          <w:sz w:val="20"/>
          <w:szCs w:val="20"/>
          <w:lang w:val="es-ES_tradnl"/>
        </w:rPr>
        <w:t xml:space="preserve">Del mismo modo, el banco ha </w:t>
      </w:r>
      <w:r w:rsidRPr="00DE0CEA">
        <w:rPr>
          <w:rFonts w:ascii="Bankinter" w:hAnsi="Bankinter" w:cs="Bankinter"/>
          <w:color w:val="000000" w:themeColor="text1"/>
          <w:sz w:val="20"/>
          <w:szCs w:val="20"/>
        </w:rPr>
        <w:t xml:space="preserve">mejorado la liquidez minorista, incrementando el </w:t>
      </w:r>
      <w:r w:rsidRPr="00DE0CEA">
        <w:rPr>
          <w:rFonts w:ascii="Bankinter" w:hAnsi="Bankinter" w:cs="Bankinter"/>
          <w:color w:val="000000" w:themeColor="text1"/>
          <w:sz w:val="20"/>
          <w:szCs w:val="20"/>
          <w:lang w:val="es-ES_tradnl"/>
        </w:rPr>
        <w:t>ratio de depósitos sobre créditos hasta el 82,3% frente al 80,3% de hace un año</w:t>
      </w:r>
      <w:r w:rsidR="00F3131A">
        <w:rPr>
          <w:rFonts w:ascii="Bankinter" w:hAnsi="Bankinter" w:cs="Bankinter"/>
          <w:color w:val="000000" w:themeColor="text1"/>
          <w:sz w:val="20"/>
          <w:szCs w:val="20"/>
          <w:lang w:val="es-ES_tradnl"/>
        </w:rPr>
        <w:t xml:space="preserve">. </w:t>
      </w:r>
      <w:r w:rsidRPr="00DE0CEA">
        <w:rPr>
          <w:rFonts w:ascii="Bankinter" w:hAnsi="Bankinter" w:cs="Bankinter"/>
          <w:color w:val="000000" w:themeColor="text1"/>
          <w:sz w:val="20"/>
          <w:szCs w:val="20"/>
        </w:rPr>
        <w:t xml:space="preserve">Los </w:t>
      </w:r>
      <w:r w:rsidRPr="00DE0CEA">
        <w:rPr>
          <w:rFonts w:ascii="Bankinter" w:hAnsi="Bankinter" w:cs="Bankinter"/>
          <w:color w:val="000000" w:themeColor="text1"/>
          <w:sz w:val="20"/>
          <w:szCs w:val="20"/>
          <w:lang w:val="es-ES_tradnl"/>
        </w:rPr>
        <w:t xml:space="preserve">vencimientos de </w:t>
      </w:r>
      <w:r w:rsidRPr="00DE0CEA">
        <w:rPr>
          <w:rFonts w:ascii="Bankinter" w:hAnsi="Bankinter" w:cs="Bankinter"/>
          <w:color w:val="000000" w:themeColor="text1"/>
          <w:sz w:val="20"/>
          <w:szCs w:val="20"/>
        </w:rPr>
        <w:t xml:space="preserve">emisiones mayoristas pendientes hasta 2018 suman </w:t>
      </w:r>
      <w:r w:rsidRPr="00DE0CEA">
        <w:rPr>
          <w:rFonts w:ascii="Bankinter" w:hAnsi="Bankinter" w:cs="Bankinter"/>
          <w:color w:val="000000" w:themeColor="text1"/>
          <w:sz w:val="20"/>
          <w:szCs w:val="20"/>
          <w:lang w:val="es-ES_tradnl"/>
        </w:rPr>
        <w:t>3.800 millones de euros, para afrontar los cuales el banco dispone de activos líquidos por valor de 8.700 millones</w:t>
      </w:r>
      <w:r w:rsidRPr="00DE0CEA">
        <w:rPr>
          <w:rFonts w:ascii="Bankinter" w:hAnsi="Bankinter" w:cs="Bankinter"/>
          <w:color w:val="000000" w:themeColor="text1"/>
          <w:sz w:val="20"/>
          <w:szCs w:val="20"/>
        </w:rPr>
        <w:t>.</w:t>
      </w:r>
    </w:p>
    <w:p w:rsidR="00DE0CEA" w:rsidRPr="00DE0CEA" w:rsidRDefault="00DE0CEA" w:rsidP="00DE0CEA">
      <w:pPr>
        <w:spacing w:after="0" w:line="240" w:lineRule="auto"/>
        <w:jc w:val="both"/>
        <w:rPr>
          <w:rFonts w:ascii="Bankinter" w:hAnsi="Bankinter" w:cs="Bankinter"/>
          <w:b/>
          <w:color w:val="0070C0"/>
          <w:sz w:val="20"/>
          <w:szCs w:val="20"/>
          <w:u w:val="single"/>
        </w:rPr>
      </w:pPr>
      <w:r w:rsidRPr="00F3131A">
        <w:rPr>
          <w:rFonts w:ascii="Bankinter" w:hAnsi="Bankinter" w:cs="Bankinter"/>
          <w:b/>
          <w:color w:val="000000" w:themeColor="text1"/>
          <w:sz w:val="20"/>
          <w:szCs w:val="20"/>
          <w:u w:val="single"/>
        </w:rPr>
        <w:t xml:space="preserve">Crecimiento de todos los márgenes. </w:t>
      </w:r>
    </w:p>
    <w:p w:rsidR="00DE0CEA" w:rsidRPr="00DE0CEA" w:rsidRDefault="00DE0CEA" w:rsidP="00DE0CEA">
      <w:pPr>
        <w:spacing w:after="0" w:line="240" w:lineRule="auto"/>
        <w:jc w:val="both"/>
        <w:rPr>
          <w:rFonts w:ascii="Bankinter" w:hAnsi="Bankinter" w:cs="Bankinter"/>
          <w:b/>
          <w:color w:val="0070C0"/>
          <w:sz w:val="20"/>
          <w:szCs w:val="20"/>
          <w:u w:val="single"/>
        </w:rPr>
      </w:pPr>
    </w:p>
    <w:p w:rsidR="00DE0CEA" w:rsidRPr="00DE0CEA" w:rsidRDefault="00DE0CEA" w:rsidP="00DE0CEA">
      <w:pPr>
        <w:spacing w:after="0" w:line="240" w:lineRule="auto"/>
        <w:jc w:val="both"/>
        <w:rPr>
          <w:rFonts w:ascii="Bankinter" w:hAnsi="Bankinter" w:cs="Tms Rmn"/>
          <w:color w:val="000000" w:themeColor="text1"/>
          <w:sz w:val="20"/>
          <w:szCs w:val="20"/>
        </w:rPr>
      </w:pPr>
      <w:r w:rsidRPr="00DE0CEA">
        <w:rPr>
          <w:rFonts w:ascii="Bankinter" w:hAnsi="Bankinter" w:cs="Bankinter"/>
          <w:color w:val="000000" w:themeColor="text1"/>
          <w:sz w:val="20"/>
          <w:szCs w:val="20"/>
        </w:rPr>
        <w:t xml:space="preserve">Los resultados presentados por el Grupo Bankinter al cierre del tercer trimestre de 2015 se asientan sobre </w:t>
      </w:r>
      <w:r w:rsidRPr="00DE0CEA">
        <w:rPr>
          <w:rFonts w:ascii="Bankinter" w:hAnsi="Bankinter" w:cs="Tms Rmn"/>
          <w:color w:val="000000" w:themeColor="text1"/>
          <w:sz w:val="20"/>
          <w:szCs w:val="20"/>
        </w:rPr>
        <w:t xml:space="preserve">el crecimiento del negocio recurrente con clientes, que ha traído consigo una mejora de todos los márgenes. </w:t>
      </w:r>
    </w:p>
    <w:p w:rsidR="00DE0CEA" w:rsidRPr="00DE0CEA" w:rsidRDefault="00DE0CEA" w:rsidP="00DE0CEA">
      <w:pPr>
        <w:spacing w:after="0" w:line="240" w:lineRule="auto"/>
        <w:jc w:val="both"/>
        <w:rPr>
          <w:rFonts w:ascii="Bankinter" w:hAnsi="Bankinter" w:cs="Tms Rmn"/>
          <w:color w:val="000000" w:themeColor="text1"/>
          <w:sz w:val="20"/>
          <w:szCs w:val="20"/>
        </w:rPr>
      </w:pPr>
    </w:p>
    <w:p w:rsidR="00DE0CEA" w:rsidRPr="00DE0CEA" w:rsidRDefault="00DE0CEA" w:rsidP="00DE0CEA">
      <w:pPr>
        <w:spacing w:after="0" w:line="240" w:lineRule="auto"/>
        <w:jc w:val="both"/>
        <w:rPr>
          <w:rFonts w:ascii="Bankinter" w:hAnsi="Bankinter" w:cs="Bankinter"/>
          <w:color w:val="000000" w:themeColor="text1"/>
          <w:sz w:val="20"/>
          <w:szCs w:val="20"/>
        </w:rPr>
      </w:pPr>
      <w:r w:rsidRPr="00DE0CEA">
        <w:rPr>
          <w:rFonts w:ascii="Bankinter" w:hAnsi="Bankinter" w:cs="Bankinter"/>
          <w:color w:val="000000" w:themeColor="text1"/>
          <w:sz w:val="20"/>
          <w:szCs w:val="20"/>
        </w:rPr>
        <w:t>El margen de intereses muestra fortaleza,  a pesar del entorno de tipos,  apoyado en el incremento de los volúmenes. Así, este margen alcanza al 30 de septiembre de 2015 los 648,1 millones de euros, lo que supone un crecimiento del 19% respecto al dato de hace un año.</w:t>
      </w:r>
    </w:p>
    <w:p w:rsidR="00DE0CEA" w:rsidRPr="00DE0CEA" w:rsidRDefault="00DE0CEA" w:rsidP="00DE0CEA">
      <w:pPr>
        <w:spacing w:after="0" w:line="240" w:lineRule="auto"/>
        <w:jc w:val="both"/>
        <w:rPr>
          <w:rFonts w:ascii="Bankinter" w:hAnsi="Bankinter" w:cs="Bankinter"/>
          <w:color w:val="000000" w:themeColor="text1"/>
          <w:sz w:val="20"/>
          <w:szCs w:val="20"/>
        </w:rPr>
      </w:pPr>
    </w:p>
    <w:p w:rsidR="00DE0CEA" w:rsidRPr="00DE0CEA" w:rsidRDefault="00DE0CEA" w:rsidP="00DE0CEA">
      <w:pPr>
        <w:spacing w:after="0" w:line="240" w:lineRule="auto"/>
        <w:jc w:val="both"/>
        <w:rPr>
          <w:rFonts w:ascii="Bankinter" w:hAnsi="Bankinter" w:cs="Bankinter"/>
          <w:color w:val="000000" w:themeColor="text1"/>
          <w:sz w:val="20"/>
          <w:szCs w:val="20"/>
        </w:rPr>
      </w:pPr>
      <w:r w:rsidRPr="00DE0CEA">
        <w:rPr>
          <w:rFonts w:ascii="Bankinter" w:hAnsi="Bankinter" w:cs="Bankinter"/>
          <w:color w:val="000000" w:themeColor="text1"/>
          <w:sz w:val="20"/>
          <w:szCs w:val="20"/>
        </w:rPr>
        <w:t xml:space="preserve">El margen bruto </w:t>
      </w:r>
      <w:r w:rsidR="001C04A9">
        <w:rPr>
          <w:rFonts w:ascii="Bankinter" w:hAnsi="Bankinter" w:cs="Bankinter"/>
          <w:color w:val="000000" w:themeColor="text1"/>
          <w:sz w:val="20"/>
          <w:szCs w:val="20"/>
        </w:rPr>
        <w:t>concluye</w:t>
      </w:r>
      <w:r w:rsidRPr="00DE0CEA">
        <w:rPr>
          <w:rFonts w:ascii="Bankinter" w:hAnsi="Bankinter" w:cs="Bankinter"/>
          <w:color w:val="000000" w:themeColor="text1"/>
          <w:sz w:val="20"/>
          <w:szCs w:val="20"/>
        </w:rPr>
        <w:t xml:space="preserve"> el trimestre en los 1.200 millones de euros, lo que significa un 8,4% más que hace un año, gracias sobre todo a la buena evolución de las comisiones, con un importe neto en los nueve primeros meses del año que es un 7,5% superior al del mismo periodo de 2014. Este incremento es producto de la buena evolución del negocio de gestión de activos, de la actividad de renta variable y del negocio internacional con Empresas.</w:t>
      </w:r>
    </w:p>
    <w:p w:rsidR="00F3131A" w:rsidRDefault="00F3131A" w:rsidP="00DE0CEA">
      <w:pPr>
        <w:spacing w:after="0" w:line="240" w:lineRule="auto"/>
        <w:jc w:val="both"/>
        <w:rPr>
          <w:rFonts w:ascii="Bankinter" w:hAnsi="Bankinter" w:cs="Bankinter"/>
          <w:color w:val="000000" w:themeColor="text1"/>
          <w:sz w:val="20"/>
          <w:szCs w:val="20"/>
        </w:rPr>
      </w:pPr>
    </w:p>
    <w:p w:rsidR="00DE0CEA" w:rsidRPr="00DE0CEA" w:rsidRDefault="00DE0CEA" w:rsidP="00DE0CEA">
      <w:pPr>
        <w:spacing w:after="0" w:line="240" w:lineRule="auto"/>
        <w:jc w:val="both"/>
        <w:rPr>
          <w:rFonts w:ascii="Bankinter" w:hAnsi="Bankinter" w:cs="Tms Rmn"/>
          <w:color w:val="000000" w:themeColor="text1"/>
          <w:sz w:val="20"/>
          <w:szCs w:val="20"/>
        </w:rPr>
      </w:pPr>
      <w:r w:rsidRPr="00DE0CEA">
        <w:rPr>
          <w:rFonts w:ascii="Bankinter" w:hAnsi="Bankinter" w:cs="Bankinter"/>
          <w:color w:val="000000" w:themeColor="text1"/>
          <w:sz w:val="20"/>
          <w:szCs w:val="20"/>
        </w:rPr>
        <w:t xml:space="preserve">Y en cuanto al margen antes de provisiones, supone al cierre de septiembre 627,3  millones de euros, un 10,8% más que hace un año. Y todo ello pese a haberse producido durante el periodo un cierto incremento en los gastos, producto de las mayores inversiones en personas, tecnología y marketing en los segmentos estratégicos. No obstante, el ratio de </w:t>
      </w:r>
      <w:r w:rsidRPr="00DE0CEA">
        <w:rPr>
          <w:rFonts w:ascii="Bankinter" w:hAnsi="Bankinter" w:cs="Tms Rmn"/>
          <w:color w:val="000000" w:themeColor="text1"/>
          <w:sz w:val="20"/>
          <w:szCs w:val="20"/>
        </w:rPr>
        <w:t>eficiencia de la actividad bancaria con amortizaciones se sitúa al 30 de septiembre de 2015 en el 44%, frente al 45,3% de hace un año.</w:t>
      </w:r>
    </w:p>
    <w:p w:rsidR="00DE0CEA" w:rsidRPr="00DE0CEA" w:rsidRDefault="00DE0CEA" w:rsidP="00DE0CEA">
      <w:pPr>
        <w:spacing w:after="0" w:line="240" w:lineRule="auto"/>
        <w:jc w:val="both"/>
        <w:rPr>
          <w:rFonts w:ascii="Bankinter" w:hAnsi="Bankinter" w:cs="Tms Rmn"/>
          <w:color w:val="000000" w:themeColor="text1"/>
          <w:sz w:val="20"/>
          <w:szCs w:val="20"/>
        </w:rPr>
      </w:pPr>
    </w:p>
    <w:p w:rsidR="00DE0CEA" w:rsidRPr="00DE0CEA" w:rsidRDefault="00DE0CEA" w:rsidP="00DE0CEA">
      <w:pPr>
        <w:spacing w:after="0" w:line="240" w:lineRule="auto"/>
        <w:jc w:val="both"/>
        <w:rPr>
          <w:rFonts w:ascii="Bankinter" w:hAnsi="Bankinter" w:cs="Bankinter"/>
          <w:color w:val="000000" w:themeColor="text1"/>
          <w:sz w:val="20"/>
          <w:szCs w:val="20"/>
        </w:rPr>
      </w:pPr>
      <w:r w:rsidRPr="00DE0CEA">
        <w:rPr>
          <w:rFonts w:ascii="Bankinter" w:hAnsi="Bankinter" w:cs="Bankinter"/>
          <w:color w:val="000000" w:themeColor="text1"/>
          <w:sz w:val="20"/>
          <w:szCs w:val="20"/>
        </w:rPr>
        <w:t xml:space="preserve">En cuanto al balance de Bankinter, los activos totales cierran septiembre en 58.625,8 millones de euros, un 4,1% por encima de la cifra de hace un año. </w:t>
      </w:r>
    </w:p>
    <w:p w:rsidR="00DE0CEA" w:rsidRPr="00DE0CEA" w:rsidRDefault="00DE0CEA" w:rsidP="00DE0CEA">
      <w:pPr>
        <w:spacing w:after="0" w:line="240" w:lineRule="auto"/>
        <w:jc w:val="both"/>
        <w:rPr>
          <w:rFonts w:ascii="Bankinter" w:hAnsi="Bankinter" w:cs="Bankinter"/>
          <w:color w:val="000000" w:themeColor="text1"/>
          <w:sz w:val="20"/>
          <w:szCs w:val="20"/>
        </w:rPr>
      </w:pPr>
    </w:p>
    <w:p w:rsidR="00DE0CEA" w:rsidRPr="00DE0CEA" w:rsidRDefault="00DE0CEA" w:rsidP="00DE0CEA">
      <w:pPr>
        <w:spacing w:after="0" w:line="240" w:lineRule="auto"/>
        <w:jc w:val="both"/>
        <w:rPr>
          <w:rFonts w:ascii="Bankinter" w:hAnsi="Bankinter"/>
          <w:color w:val="000000" w:themeColor="text1"/>
          <w:sz w:val="20"/>
          <w:szCs w:val="20"/>
        </w:rPr>
      </w:pPr>
      <w:r w:rsidRPr="00DE0CEA">
        <w:rPr>
          <w:rFonts w:ascii="Bankinter" w:hAnsi="Bankinter"/>
          <w:color w:val="000000" w:themeColor="text1"/>
          <w:sz w:val="20"/>
          <w:szCs w:val="20"/>
        </w:rPr>
        <w:t>El volumen de crédito a clientes sigue creciendo con solidez, lo que evidencia la atención prestada por el banco a la demanda de financiación por parte de familias y empresas. Este volumen del crédito se sitúa al término del tercer trimestre en los 43</w:t>
      </w:r>
      <w:r w:rsidR="0051036C">
        <w:rPr>
          <w:rFonts w:ascii="Bankinter" w:hAnsi="Bankinter"/>
          <w:color w:val="000000" w:themeColor="text1"/>
          <w:sz w:val="20"/>
          <w:szCs w:val="20"/>
        </w:rPr>
        <w:t>.379,6 millones de euros, un 4,1</w:t>
      </w:r>
      <w:r w:rsidRPr="00DE0CEA">
        <w:rPr>
          <w:rFonts w:ascii="Bankinter" w:hAnsi="Bankinter"/>
          <w:color w:val="000000" w:themeColor="text1"/>
          <w:sz w:val="20"/>
          <w:szCs w:val="20"/>
        </w:rPr>
        <w:t xml:space="preserve">% más que hace un año. </w:t>
      </w:r>
    </w:p>
    <w:p w:rsidR="00DE0CEA" w:rsidRPr="00DE0CEA" w:rsidRDefault="00DE0CEA" w:rsidP="00DE0CEA">
      <w:pPr>
        <w:spacing w:after="0" w:line="240" w:lineRule="auto"/>
        <w:jc w:val="both"/>
        <w:rPr>
          <w:rFonts w:ascii="Bankinter" w:hAnsi="Bankinter"/>
          <w:color w:val="000000" w:themeColor="text1"/>
          <w:sz w:val="20"/>
          <w:szCs w:val="20"/>
        </w:rPr>
      </w:pPr>
    </w:p>
    <w:p w:rsidR="00DE0CEA" w:rsidRPr="00DE0CEA" w:rsidRDefault="00DE0CEA" w:rsidP="00DE0CEA">
      <w:pPr>
        <w:spacing w:after="0" w:line="240" w:lineRule="auto"/>
        <w:jc w:val="both"/>
        <w:rPr>
          <w:rFonts w:ascii="Bankinter" w:hAnsi="Bankinter" w:cs="Bankinter"/>
          <w:color w:val="000000" w:themeColor="text1"/>
          <w:sz w:val="20"/>
          <w:szCs w:val="20"/>
        </w:rPr>
      </w:pPr>
      <w:r w:rsidRPr="00DE0CEA">
        <w:rPr>
          <w:rFonts w:ascii="Bankinter" w:hAnsi="Bankinter" w:cs="Bankinter"/>
          <w:color w:val="000000" w:themeColor="text1"/>
          <w:sz w:val="20"/>
          <w:szCs w:val="20"/>
        </w:rPr>
        <w:t>En lo referente a los recursos controlados, se mantiene el ritmo de crecimiento de anteriores trimestres, llegando a los 62.905 millones de euros, un 11,7% más que a septiembre de 2014. Ese crecimiento es especialmente señalado en los recursos gestionados fuera de balance, que suponen un 26,5% más que hace un año. Dentro de estos, los fondos de inversión gestionados y comercializados por Bankinter Gestión de Activos, crecen un 24% respecto al año anterior, hasta alcanzar los 13.000 millones de euros.</w:t>
      </w:r>
    </w:p>
    <w:p w:rsidR="00DE0CEA" w:rsidRDefault="00DE0CEA" w:rsidP="00DE0CEA">
      <w:pPr>
        <w:spacing w:after="0" w:line="240" w:lineRule="auto"/>
        <w:jc w:val="both"/>
        <w:rPr>
          <w:rFonts w:ascii="Bankinter" w:hAnsi="Bankinter" w:cs="Bankinter"/>
          <w:b/>
          <w:color w:val="000000" w:themeColor="text1"/>
          <w:sz w:val="20"/>
          <w:szCs w:val="20"/>
          <w:u w:val="single"/>
        </w:rPr>
      </w:pPr>
    </w:p>
    <w:p w:rsidR="00DE0CEA" w:rsidRDefault="00DE0CEA" w:rsidP="00DE0CEA">
      <w:pPr>
        <w:spacing w:after="0" w:line="240" w:lineRule="auto"/>
        <w:jc w:val="both"/>
        <w:rPr>
          <w:rFonts w:ascii="Bankinter" w:hAnsi="Bankinter" w:cs="Bankinter"/>
          <w:b/>
          <w:color w:val="000000" w:themeColor="text1"/>
          <w:sz w:val="20"/>
          <w:szCs w:val="20"/>
          <w:u w:val="single"/>
        </w:rPr>
      </w:pPr>
      <w:r w:rsidRPr="00DE0CEA">
        <w:rPr>
          <w:rFonts w:ascii="Bankinter" w:hAnsi="Bankinter" w:cs="Bankinter"/>
          <w:b/>
          <w:color w:val="000000" w:themeColor="text1"/>
          <w:sz w:val="20"/>
          <w:szCs w:val="20"/>
          <w:u w:val="single"/>
        </w:rPr>
        <w:t xml:space="preserve">Favorable evolución del negocio de clientes. </w:t>
      </w:r>
    </w:p>
    <w:p w:rsidR="00DE0CEA" w:rsidRDefault="00DE0CEA" w:rsidP="00DE0CEA">
      <w:pPr>
        <w:spacing w:after="0" w:line="240" w:lineRule="auto"/>
        <w:jc w:val="both"/>
        <w:rPr>
          <w:rFonts w:ascii="Bankinter" w:hAnsi="Bankinter" w:cs="Bankinter"/>
          <w:color w:val="000000" w:themeColor="text1"/>
          <w:sz w:val="20"/>
          <w:szCs w:val="20"/>
        </w:rPr>
      </w:pPr>
    </w:p>
    <w:p w:rsidR="00DE0CEA" w:rsidRPr="00DE0CEA" w:rsidRDefault="00DE0CEA" w:rsidP="00DE0CEA">
      <w:pPr>
        <w:spacing w:after="0" w:line="240" w:lineRule="auto"/>
        <w:jc w:val="both"/>
        <w:rPr>
          <w:rFonts w:ascii="Bankinter" w:hAnsi="Bankinter" w:cs="Bankinter"/>
          <w:color w:val="000000" w:themeColor="text1"/>
          <w:sz w:val="20"/>
          <w:szCs w:val="20"/>
        </w:rPr>
      </w:pPr>
      <w:r w:rsidRPr="00DE0CEA">
        <w:rPr>
          <w:rFonts w:ascii="Bankinter" w:hAnsi="Bankinter" w:cs="Bankinter"/>
          <w:color w:val="000000" w:themeColor="text1"/>
          <w:sz w:val="20"/>
          <w:szCs w:val="20"/>
        </w:rPr>
        <w:t xml:space="preserve">Los resultados </w:t>
      </w:r>
      <w:r w:rsidR="001C04A9">
        <w:rPr>
          <w:rFonts w:ascii="Bankinter" w:hAnsi="Bankinter" w:cs="Bankinter"/>
          <w:color w:val="000000" w:themeColor="text1"/>
          <w:sz w:val="20"/>
          <w:szCs w:val="20"/>
        </w:rPr>
        <w:t>del Grupo Bankinter</w:t>
      </w:r>
      <w:r w:rsidRPr="00DE0CEA">
        <w:rPr>
          <w:rFonts w:ascii="Bankinter" w:hAnsi="Bankinter" w:cs="Bankinter"/>
          <w:color w:val="000000" w:themeColor="text1"/>
          <w:sz w:val="20"/>
          <w:szCs w:val="20"/>
        </w:rPr>
        <w:t xml:space="preserve"> ponen de manifiesto la buena evolución del negocio de clientes en los segmentos y negocios estratégicos, tanto en volumen como en ingresos.</w:t>
      </w:r>
    </w:p>
    <w:p w:rsidR="00DE0CEA" w:rsidRPr="00DE0CEA" w:rsidRDefault="00DE0CEA" w:rsidP="00DE0CEA">
      <w:pPr>
        <w:spacing w:after="0" w:line="240" w:lineRule="auto"/>
        <w:jc w:val="both"/>
        <w:rPr>
          <w:rFonts w:ascii="Bankinter" w:hAnsi="Bankinter" w:cs="Bankinter"/>
          <w:color w:val="000000" w:themeColor="text1"/>
          <w:sz w:val="20"/>
          <w:szCs w:val="20"/>
        </w:rPr>
      </w:pPr>
    </w:p>
    <w:p w:rsidR="00DE0CEA" w:rsidRPr="00DE0CEA" w:rsidRDefault="00DE0CEA" w:rsidP="00DE0CEA">
      <w:pPr>
        <w:spacing w:after="0" w:line="240" w:lineRule="auto"/>
        <w:jc w:val="both"/>
        <w:rPr>
          <w:rFonts w:ascii="Bankinter" w:hAnsi="Bankinter" w:cs="Helv"/>
          <w:color w:val="000000" w:themeColor="text1"/>
          <w:sz w:val="20"/>
          <w:szCs w:val="20"/>
        </w:rPr>
      </w:pPr>
      <w:r w:rsidRPr="00DE0CEA">
        <w:rPr>
          <w:rFonts w:ascii="Bankinter" w:hAnsi="Bankinter" w:cs="Helv"/>
          <w:color w:val="000000" w:themeColor="text1"/>
          <w:sz w:val="20"/>
          <w:szCs w:val="20"/>
        </w:rPr>
        <w:t>Esta tendencia de crecimiento es especialmente significativa en los negocios por los que el banco viene apostando de manera decidida en los últimos ejercicios, como es el caso de la Banca Privada o la de Empresas, así como en aquellos otros más recientemente potenciados en su estrategia, como la Banca Personal y, sobre todo, la Financiación al Consumo.</w:t>
      </w:r>
    </w:p>
    <w:p w:rsidR="00DE0CEA" w:rsidRPr="00DE0CEA" w:rsidRDefault="00DE0CEA" w:rsidP="00DE0CEA">
      <w:pPr>
        <w:spacing w:after="0" w:line="240" w:lineRule="auto"/>
        <w:jc w:val="both"/>
        <w:rPr>
          <w:rFonts w:ascii="Bankinter" w:hAnsi="Bankinter" w:cs="Helv"/>
          <w:color w:val="000000" w:themeColor="text1"/>
          <w:sz w:val="20"/>
          <w:szCs w:val="20"/>
        </w:rPr>
      </w:pPr>
    </w:p>
    <w:p w:rsidR="00DE0CEA" w:rsidRPr="00DE0CEA" w:rsidRDefault="00DE0CEA" w:rsidP="00DE0CEA">
      <w:pPr>
        <w:spacing w:after="0" w:line="240" w:lineRule="auto"/>
        <w:jc w:val="both"/>
        <w:rPr>
          <w:rFonts w:ascii="Bankinter" w:hAnsi="Bankinter" w:cs="Helv"/>
          <w:color w:val="000000" w:themeColor="text1"/>
          <w:sz w:val="20"/>
          <w:szCs w:val="20"/>
        </w:rPr>
      </w:pPr>
      <w:r w:rsidRPr="00DE0CEA">
        <w:rPr>
          <w:rFonts w:ascii="Bankinter" w:hAnsi="Bankinter" w:cs="Helv"/>
          <w:color w:val="000000" w:themeColor="text1"/>
          <w:sz w:val="20"/>
          <w:szCs w:val="20"/>
        </w:rPr>
        <w:t xml:space="preserve">En Banca Privada, el patrimonio gestionado de los clientes del segmento alcanza los 26.900 millones de euros, un 20,4% más que hace un año. Es destacable también el patrimonio neto nuevo captado durante este tercer trimestre del año: 1.000 millones de euros más que lo captado entre los clientes del segmento en el mismo trimestre de 2014. Asimismo, el crecimiento es también significativo en lo que se refiere a las </w:t>
      </w:r>
      <w:proofErr w:type="spellStart"/>
      <w:r w:rsidRPr="00DE0CEA">
        <w:rPr>
          <w:rFonts w:ascii="Bankinter" w:hAnsi="Bankinter" w:cs="Helv"/>
          <w:color w:val="000000" w:themeColor="text1"/>
          <w:sz w:val="20"/>
          <w:szCs w:val="20"/>
        </w:rPr>
        <w:t>sicavs</w:t>
      </w:r>
      <w:proofErr w:type="spellEnd"/>
      <w:r w:rsidRPr="00DE0CEA">
        <w:rPr>
          <w:rFonts w:ascii="Bankinter" w:hAnsi="Bankinter" w:cs="Helv"/>
          <w:color w:val="000000" w:themeColor="text1"/>
          <w:sz w:val="20"/>
          <w:szCs w:val="20"/>
        </w:rPr>
        <w:t xml:space="preserve">, alcanzando las 447 sociedades gestionadas, lo que </w:t>
      </w:r>
      <w:r w:rsidR="001C04A9">
        <w:rPr>
          <w:rFonts w:ascii="Bankinter" w:hAnsi="Bankinter" w:cs="Helv"/>
          <w:color w:val="000000" w:themeColor="text1"/>
          <w:sz w:val="20"/>
          <w:szCs w:val="20"/>
        </w:rPr>
        <w:t xml:space="preserve">lleva </w:t>
      </w:r>
      <w:r w:rsidRPr="00DE0CEA">
        <w:rPr>
          <w:rFonts w:ascii="Bankinter" w:hAnsi="Bankinter" w:cs="Helv"/>
          <w:color w:val="000000" w:themeColor="text1"/>
          <w:sz w:val="20"/>
          <w:szCs w:val="20"/>
        </w:rPr>
        <w:t>al banco a lograr una cuota de mercado en este negocio del 13,4%.</w:t>
      </w:r>
    </w:p>
    <w:p w:rsidR="00DE0CEA" w:rsidRPr="00DE0CEA" w:rsidRDefault="00DE0CEA" w:rsidP="00DE0CEA">
      <w:pPr>
        <w:spacing w:after="0" w:line="240" w:lineRule="auto"/>
        <w:jc w:val="both"/>
        <w:rPr>
          <w:rFonts w:ascii="Bankinter" w:hAnsi="Bankinter" w:cs="Helv"/>
          <w:color w:val="000000" w:themeColor="text1"/>
          <w:sz w:val="20"/>
          <w:szCs w:val="20"/>
        </w:rPr>
      </w:pPr>
    </w:p>
    <w:p w:rsidR="00DE0CEA" w:rsidRPr="00DE0CEA" w:rsidRDefault="00DE0CEA" w:rsidP="00DE0CEA">
      <w:pPr>
        <w:spacing w:after="0" w:line="240" w:lineRule="auto"/>
        <w:jc w:val="both"/>
        <w:rPr>
          <w:rFonts w:ascii="Bankinter" w:hAnsi="Bankinter"/>
          <w:color w:val="000000" w:themeColor="text1"/>
          <w:sz w:val="20"/>
          <w:szCs w:val="20"/>
        </w:rPr>
      </w:pPr>
      <w:r w:rsidRPr="00DE0CEA">
        <w:rPr>
          <w:rFonts w:ascii="Bankinter" w:hAnsi="Bankinter" w:cs="Bankinter"/>
          <w:color w:val="000000" w:themeColor="text1"/>
          <w:sz w:val="20"/>
          <w:szCs w:val="20"/>
        </w:rPr>
        <w:t xml:space="preserve">Por lo que atañe al segmento de Empresas, de nuevo vuelve a crecer la inversión crediticia, un 4,2% más que hace un año,  con </w:t>
      </w:r>
      <w:r w:rsidRPr="00DE0CEA">
        <w:rPr>
          <w:rFonts w:ascii="Bankinter" w:hAnsi="Bankinter"/>
          <w:color w:val="000000" w:themeColor="text1"/>
          <w:sz w:val="20"/>
          <w:szCs w:val="20"/>
        </w:rPr>
        <w:t>un saldo a 30 de septiembre de 2015 de 19.100 millones de euros. En este segmento empieza a ser significativa la aportación a los ingresos del negocio internacional de los clientes empresas.</w:t>
      </w:r>
    </w:p>
    <w:p w:rsidR="00DE0CEA" w:rsidRPr="00DE0CEA" w:rsidRDefault="00DE0CEA" w:rsidP="00DE0CEA">
      <w:pPr>
        <w:spacing w:after="0" w:line="240" w:lineRule="auto"/>
        <w:jc w:val="both"/>
        <w:rPr>
          <w:rFonts w:ascii="Bankinter" w:hAnsi="Bankinter"/>
          <w:color w:val="000000" w:themeColor="text1"/>
          <w:sz w:val="20"/>
          <w:szCs w:val="20"/>
        </w:rPr>
      </w:pPr>
    </w:p>
    <w:p w:rsidR="00DE0CEA" w:rsidRPr="00DE0CEA" w:rsidRDefault="00DE0CEA" w:rsidP="00DE0CEA">
      <w:pPr>
        <w:spacing w:after="0" w:line="240" w:lineRule="auto"/>
        <w:jc w:val="both"/>
        <w:rPr>
          <w:rFonts w:ascii="Bankinter" w:hAnsi="Bankinter" w:cs="Bankinter"/>
          <w:color w:val="000000" w:themeColor="text1"/>
          <w:sz w:val="20"/>
          <w:szCs w:val="20"/>
        </w:rPr>
      </w:pPr>
      <w:r w:rsidRPr="00DE0CEA">
        <w:rPr>
          <w:rFonts w:ascii="Bankinter" w:hAnsi="Bankinter" w:cs="Bankinter"/>
          <w:color w:val="000000" w:themeColor="text1"/>
          <w:sz w:val="20"/>
          <w:szCs w:val="20"/>
          <w:lang w:val="es-ES_tradnl"/>
        </w:rPr>
        <w:lastRenderedPageBreak/>
        <w:t>El negocio de seguros sigue siendo un buen contribuidor a los ingresos del banco. L</w:t>
      </w:r>
      <w:proofErr w:type="spellStart"/>
      <w:r w:rsidRPr="00DE0CEA">
        <w:rPr>
          <w:rFonts w:ascii="Bankinter" w:hAnsi="Bankinter" w:cs="Bankinter"/>
          <w:color w:val="000000" w:themeColor="text1"/>
          <w:sz w:val="20"/>
          <w:szCs w:val="20"/>
        </w:rPr>
        <w:t>ínea</w:t>
      </w:r>
      <w:proofErr w:type="spellEnd"/>
      <w:r w:rsidRPr="00DE0CEA">
        <w:rPr>
          <w:rFonts w:ascii="Bankinter" w:hAnsi="Bankinter" w:cs="Bankinter"/>
          <w:color w:val="000000" w:themeColor="text1"/>
          <w:sz w:val="20"/>
          <w:szCs w:val="20"/>
        </w:rPr>
        <w:t xml:space="preserve"> Directa mantiene una buena evolución en los segmentos de motor y hogar, incrementando en el año el número de pólizas, la rentabilidad del negocio y la cuota de mercado en el sector del seguro directo. Al cierre del tercer trimestre, las pólizas totales suponen un 6,7% más que </w:t>
      </w:r>
      <w:r w:rsidR="001C04A9">
        <w:rPr>
          <w:rFonts w:ascii="Bankinter" w:hAnsi="Bankinter" w:cs="Bankinter"/>
          <w:color w:val="000000" w:themeColor="text1"/>
          <w:sz w:val="20"/>
          <w:szCs w:val="20"/>
        </w:rPr>
        <w:t>a septiembre de 2014</w:t>
      </w:r>
      <w:r w:rsidRPr="00DE0CEA">
        <w:rPr>
          <w:rFonts w:ascii="Bankinter" w:hAnsi="Bankinter" w:cs="Bankinter"/>
          <w:color w:val="000000" w:themeColor="text1"/>
          <w:sz w:val="20"/>
          <w:szCs w:val="20"/>
        </w:rPr>
        <w:t xml:space="preserve">, hasta un total de 2,34 millones de pólizas, destacando un trimestre más el crecimiento en seguros de hogar: un 19,7%. </w:t>
      </w:r>
    </w:p>
    <w:p w:rsidR="00DE0CEA" w:rsidRPr="00DE0CEA" w:rsidRDefault="00DE0CEA" w:rsidP="00DE0CEA">
      <w:pPr>
        <w:spacing w:after="0" w:line="240" w:lineRule="auto"/>
        <w:jc w:val="both"/>
        <w:rPr>
          <w:rFonts w:ascii="Bankinter" w:hAnsi="Bankinter" w:cs="Bankinter"/>
          <w:color w:val="000000" w:themeColor="text1"/>
          <w:sz w:val="20"/>
          <w:szCs w:val="20"/>
        </w:rPr>
      </w:pPr>
    </w:p>
    <w:p w:rsidR="00DE0CEA" w:rsidRPr="00DE0CEA" w:rsidRDefault="00DE0CEA" w:rsidP="00DE0CEA">
      <w:pPr>
        <w:spacing w:after="0" w:line="240" w:lineRule="auto"/>
        <w:jc w:val="both"/>
        <w:rPr>
          <w:rFonts w:ascii="Bankinter" w:hAnsi="Bankinter" w:cs="Bankinter"/>
          <w:color w:val="000000" w:themeColor="text1"/>
          <w:sz w:val="20"/>
          <w:szCs w:val="20"/>
          <w:lang w:val="es-ES_tradnl"/>
        </w:rPr>
      </w:pPr>
      <w:r w:rsidRPr="00DE0CEA">
        <w:rPr>
          <w:rFonts w:ascii="Bankinter" w:hAnsi="Bankinter" w:cs="Bankinter"/>
          <w:color w:val="000000" w:themeColor="text1"/>
          <w:sz w:val="20"/>
          <w:szCs w:val="20"/>
          <w:lang w:val="es-ES_tradnl"/>
        </w:rPr>
        <w:t xml:space="preserve">Es también muy significativo el buen resultado obtenido por el negocio de Financiación al Consumo, al que el banco quiere dar un impulso especial a través del relanzamiento de Bankinter </w:t>
      </w:r>
      <w:proofErr w:type="spellStart"/>
      <w:r w:rsidRPr="00DE0CEA">
        <w:rPr>
          <w:rFonts w:ascii="Bankinter" w:hAnsi="Bankinter" w:cs="Bankinter"/>
          <w:color w:val="000000" w:themeColor="text1"/>
          <w:sz w:val="20"/>
          <w:szCs w:val="20"/>
          <w:lang w:val="es-ES_tradnl"/>
        </w:rPr>
        <w:t>Consumer</w:t>
      </w:r>
      <w:proofErr w:type="spellEnd"/>
      <w:r w:rsidRPr="00DE0CEA">
        <w:rPr>
          <w:rFonts w:ascii="Bankinter" w:hAnsi="Bankinter" w:cs="Bankinter"/>
          <w:color w:val="000000" w:themeColor="text1"/>
          <w:sz w:val="20"/>
          <w:szCs w:val="20"/>
          <w:lang w:val="es-ES_tradnl"/>
        </w:rPr>
        <w:t xml:space="preserve"> </w:t>
      </w:r>
      <w:proofErr w:type="spellStart"/>
      <w:r w:rsidRPr="00DE0CEA">
        <w:rPr>
          <w:rFonts w:ascii="Bankinter" w:hAnsi="Bankinter" w:cs="Bankinter"/>
          <w:color w:val="000000" w:themeColor="text1"/>
          <w:sz w:val="20"/>
          <w:szCs w:val="20"/>
          <w:lang w:val="es-ES_tradnl"/>
        </w:rPr>
        <w:t>Finance</w:t>
      </w:r>
      <w:proofErr w:type="spellEnd"/>
      <w:r w:rsidRPr="00DE0CEA">
        <w:rPr>
          <w:rFonts w:ascii="Bankinter" w:hAnsi="Bankinter" w:cs="Bankinter"/>
          <w:color w:val="000000" w:themeColor="text1"/>
          <w:sz w:val="20"/>
          <w:szCs w:val="20"/>
          <w:lang w:val="es-ES_tradnl"/>
        </w:rPr>
        <w:t>. Así, la cifra de Inversión en consumo alcanza un volumen de 632 millones de euros, un 55% más que hace un año. Más reseñable es aún el crecimiento en la captación de nuevas cuentas: durante los 9 primeros meses de 2015 se han producido un 121% más de captaciones de nuevas cuentas de clientes que en el mismo periodo de 2014.</w:t>
      </w:r>
    </w:p>
    <w:p w:rsidR="00DE0CEA" w:rsidRPr="00DE0CEA" w:rsidRDefault="00DE0CEA" w:rsidP="00DE0CEA">
      <w:pPr>
        <w:spacing w:after="0" w:line="240" w:lineRule="auto"/>
        <w:jc w:val="both"/>
        <w:rPr>
          <w:rFonts w:ascii="Bankinter" w:hAnsi="Bankinter" w:cs="Bankinter"/>
          <w:color w:val="000000" w:themeColor="text1"/>
          <w:sz w:val="20"/>
          <w:szCs w:val="20"/>
          <w:lang w:val="es-ES_tradnl"/>
        </w:rPr>
      </w:pPr>
    </w:p>
    <w:p w:rsidR="00DE0CEA" w:rsidRDefault="00DE0CEA" w:rsidP="00DE0CEA">
      <w:pPr>
        <w:spacing w:after="0" w:line="240" w:lineRule="auto"/>
        <w:jc w:val="both"/>
        <w:rPr>
          <w:rFonts w:ascii="Bankinter" w:hAnsi="Bankinter" w:cs="Bankinter"/>
          <w:color w:val="000000" w:themeColor="text1"/>
          <w:sz w:val="20"/>
          <w:szCs w:val="20"/>
        </w:rPr>
      </w:pPr>
      <w:r w:rsidRPr="00DE0CEA">
        <w:rPr>
          <w:rFonts w:ascii="Bankinter" w:hAnsi="Bankinter" w:cs="Bankinter"/>
          <w:color w:val="000000" w:themeColor="text1"/>
          <w:sz w:val="20"/>
          <w:szCs w:val="20"/>
          <w:lang w:val="es-ES_tradnl"/>
        </w:rPr>
        <w:t xml:space="preserve">Por productos, es </w:t>
      </w:r>
      <w:r w:rsidR="001C04A9">
        <w:rPr>
          <w:rFonts w:ascii="Bankinter" w:hAnsi="Bankinter" w:cs="Bankinter"/>
          <w:color w:val="000000" w:themeColor="text1"/>
          <w:sz w:val="20"/>
          <w:szCs w:val="20"/>
          <w:lang w:val="es-ES_tradnl"/>
        </w:rPr>
        <w:t>de reseñar</w:t>
      </w:r>
      <w:r w:rsidRPr="00DE0CEA">
        <w:rPr>
          <w:rFonts w:ascii="Bankinter" w:hAnsi="Bankinter" w:cs="Bankinter"/>
          <w:color w:val="000000" w:themeColor="text1"/>
          <w:sz w:val="20"/>
          <w:szCs w:val="20"/>
          <w:lang w:val="es-ES_tradnl"/>
        </w:rPr>
        <w:t xml:space="preserve"> la buena marcha de dos de las principales apuestas comerciales del banco, como son las hipotecas y la cuenta nómina. Así, la nueva producción hipotecaria mantiene la tendencia positiva de anteriores trimestres, alcanzando en los nueve primeros meses de 2015 un volumen de nueva producción de 1.318 millones de euros, un 31% más que en el mismo periodo de 2014. Y en cuanto a la cartera de cuentas nómina, el saldo depositado en este producto al cierre de septiembre de 2015 llega hasta los 3.916 millones de euros, un </w:t>
      </w:r>
      <w:r w:rsidRPr="00DE0CEA">
        <w:rPr>
          <w:rFonts w:ascii="Bankinter" w:hAnsi="Bankinter" w:cs="Bankinter"/>
          <w:color w:val="000000" w:themeColor="text1"/>
          <w:sz w:val="20"/>
          <w:szCs w:val="20"/>
        </w:rPr>
        <w:t>28% más que hace un año.</w:t>
      </w:r>
    </w:p>
    <w:p w:rsidR="00111CAC" w:rsidRPr="00DE0CEA" w:rsidRDefault="00111CAC" w:rsidP="00DE0CEA">
      <w:pPr>
        <w:spacing w:after="0" w:line="240" w:lineRule="auto"/>
        <w:jc w:val="both"/>
        <w:rPr>
          <w:rFonts w:ascii="Bankinter" w:hAnsi="Bankinter" w:cs="Bankinter"/>
          <w:color w:val="000000" w:themeColor="text1"/>
          <w:sz w:val="20"/>
          <w:szCs w:val="20"/>
        </w:rPr>
      </w:pPr>
    </w:p>
    <w:p w:rsidR="008C5C65" w:rsidRDefault="008C5C65" w:rsidP="00C019CE">
      <w:pPr>
        <w:autoSpaceDE w:val="0"/>
        <w:autoSpaceDN w:val="0"/>
        <w:adjustRightInd w:val="0"/>
        <w:spacing w:after="0" w:line="240" w:lineRule="auto"/>
        <w:jc w:val="both"/>
        <w:rPr>
          <w:rFonts w:ascii="Bankinter" w:hAnsi="Bankinter" w:cs="Bankinter"/>
          <w:b/>
          <w:color w:val="000000" w:themeColor="text1"/>
          <w:sz w:val="20"/>
          <w:szCs w:val="20"/>
        </w:rPr>
      </w:pPr>
    </w:p>
    <w:p w:rsidR="00542FCC" w:rsidRDefault="00542FCC" w:rsidP="00C019CE">
      <w:pPr>
        <w:autoSpaceDE w:val="0"/>
        <w:autoSpaceDN w:val="0"/>
        <w:adjustRightInd w:val="0"/>
        <w:spacing w:after="0" w:line="240" w:lineRule="auto"/>
        <w:jc w:val="both"/>
        <w:rPr>
          <w:rFonts w:ascii="Bankinter" w:hAnsi="Bankinter" w:cs="Bankinter"/>
          <w:b/>
          <w:color w:val="000000" w:themeColor="text1"/>
          <w:sz w:val="20"/>
          <w:szCs w:val="20"/>
        </w:rPr>
      </w:pPr>
      <w:r w:rsidRPr="00175BC7">
        <w:rPr>
          <w:rFonts w:ascii="Bankinter" w:hAnsi="Bankinter" w:cs="Bankinter"/>
          <w:b/>
          <w:color w:val="000000" w:themeColor="text1"/>
          <w:sz w:val="20"/>
          <w:szCs w:val="20"/>
        </w:rPr>
        <w:t>P</w:t>
      </w:r>
      <w:r w:rsidR="00FC0256">
        <w:rPr>
          <w:rFonts w:ascii="Bankinter" w:hAnsi="Bankinter" w:cs="Bankinter"/>
          <w:b/>
          <w:color w:val="000000" w:themeColor="text1"/>
          <w:sz w:val="20"/>
          <w:szCs w:val="20"/>
        </w:rPr>
        <w:t xml:space="preserve">rincipales magnitudes </w:t>
      </w:r>
      <w:r w:rsidR="00793FD7">
        <w:rPr>
          <w:rFonts w:ascii="Bankinter" w:hAnsi="Bankinter" w:cs="Bankinter"/>
          <w:b/>
          <w:color w:val="000000" w:themeColor="text1"/>
          <w:sz w:val="20"/>
          <w:szCs w:val="20"/>
        </w:rPr>
        <w:t>3</w:t>
      </w:r>
      <w:r w:rsidR="001B29B1">
        <w:rPr>
          <w:rFonts w:ascii="Bankinter" w:hAnsi="Bankinter" w:cs="Bankinter"/>
          <w:b/>
          <w:color w:val="000000" w:themeColor="text1"/>
          <w:sz w:val="20"/>
          <w:szCs w:val="20"/>
        </w:rPr>
        <w:t>º</w:t>
      </w:r>
      <w:r w:rsidR="001972F8" w:rsidRPr="00175BC7">
        <w:rPr>
          <w:rFonts w:ascii="Bankinter" w:hAnsi="Bankinter" w:cs="Bankinter"/>
          <w:b/>
          <w:color w:val="000000" w:themeColor="text1"/>
          <w:sz w:val="20"/>
          <w:szCs w:val="20"/>
        </w:rPr>
        <w:t xml:space="preserve"> </w:t>
      </w:r>
      <w:r w:rsidR="00C76F3A">
        <w:rPr>
          <w:rFonts w:ascii="Bankinter" w:hAnsi="Bankinter" w:cs="Bankinter"/>
          <w:b/>
          <w:color w:val="000000" w:themeColor="text1"/>
          <w:sz w:val="20"/>
          <w:szCs w:val="20"/>
        </w:rPr>
        <w:t>Trim</w:t>
      </w:r>
      <w:r w:rsidRPr="00175BC7">
        <w:rPr>
          <w:rFonts w:ascii="Bankinter" w:hAnsi="Bankinter" w:cs="Bankinter"/>
          <w:b/>
          <w:color w:val="000000" w:themeColor="text1"/>
          <w:sz w:val="20"/>
          <w:szCs w:val="20"/>
        </w:rPr>
        <w:t>estre de 201</w:t>
      </w:r>
      <w:r w:rsidR="006B27D2">
        <w:rPr>
          <w:rFonts w:ascii="Bankinter" w:hAnsi="Bankinter" w:cs="Bankinter"/>
          <w:b/>
          <w:color w:val="000000" w:themeColor="text1"/>
          <w:sz w:val="20"/>
          <w:szCs w:val="20"/>
        </w:rPr>
        <w:t>5</w:t>
      </w:r>
    </w:p>
    <w:p w:rsidR="008C5C65" w:rsidRDefault="008C5C65" w:rsidP="00C019CE">
      <w:pPr>
        <w:autoSpaceDE w:val="0"/>
        <w:autoSpaceDN w:val="0"/>
        <w:adjustRightInd w:val="0"/>
        <w:spacing w:after="0" w:line="240" w:lineRule="auto"/>
        <w:jc w:val="both"/>
        <w:rPr>
          <w:rFonts w:ascii="Bankinter" w:hAnsi="Bankinter" w:cs="Bankinter"/>
          <w:b/>
          <w:color w:val="000000" w:themeColor="text1"/>
          <w:sz w:val="20"/>
          <w:szCs w:val="20"/>
        </w:rPr>
      </w:pPr>
    </w:p>
    <w:tbl>
      <w:tblPr>
        <w:tblStyle w:val="Listaclara-nfasis2"/>
        <w:tblW w:w="0" w:type="auto"/>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Look w:val="04A0" w:firstRow="1" w:lastRow="0" w:firstColumn="1" w:lastColumn="0" w:noHBand="0" w:noVBand="1"/>
      </w:tblPr>
      <w:tblGrid>
        <w:gridCol w:w="2376"/>
        <w:gridCol w:w="1418"/>
        <w:gridCol w:w="1701"/>
        <w:gridCol w:w="1420"/>
        <w:gridCol w:w="1729"/>
      </w:tblGrid>
      <w:tr w:rsidR="008C5C65" w:rsidTr="00B316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shd w:val="clear" w:color="auto" w:fill="F79646" w:themeFill="accent6"/>
          </w:tcPr>
          <w:p w:rsidR="008C5C65" w:rsidRDefault="008C5C65" w:rsidP="00B3164B">
            <w:pPr>
              <w:autoSpaceDE w:val="0"/>
              <w:autoSpaceDN w:val="0"/>
              <w:adjustRightInd w:val="0"/>
              <w:jc w:val="both"/>
              <w:rPr>
                <w:rFonts w:ascii="Bankinter" w:hAnsi="Bankinter" w:cs="Bankinter"/>
                <w:color w:val="000000" w:themeColor="text1"/>
                <w:sz w:val="20"/>
                <w:szCs w:val="20"/>
              </w:rPr>
            </w:pPr>
          </w:p>
        </w:tc>
        <w:tc>
          <w:tcPr>
            <w:tcW w:w="1418" w:type="dxa"/>
            <w:shd w:val="clear" w:color="auto" w:fill="F79646" w:themeFill="accent6"/>
          </w:tcPr>
          <w:p w:rsidR="008C5C65" w:rsidRDefault="008C5C65" w:rsidP="00B3164B">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p>
        </w:tc>
        <w:tc>
          <w:tcPr>
            <w:tcW w:w="1701" w:type="dxa"/>
            <w:shd w:val="clear" w:color="auto" w:fill="F79646" w:themeFill="accent6"/>
          </w:tcPr>
          <w:p w:rsidR="008C5C65" w:rsidRDefault="008C5C65" w:rsidP="00B3164B">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p>
        </w:tc>
        <w:tc>
          <w:tcPr>
            <w:tcW w:w="1420" w:type="dxa"/>
            <w:shd w:val="clear" w:color="auto" w:fill="F79646" w:themeFill="accent6"/>
          </w:tcPr>
          <w:p w:rsidR="008C5C65" w:rsidRDefault="008C5C65" w:rsidP="00B3164B">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p>
        </w:tc>
        <w:tc>
          <w:tcPr>
            <w:tcW w:w="1729" w:type="dxa"/>
            <w:shd w:val="clear" w:color="auto" w:fill="F79646" w:themeFill="accent6"/>
          </w:tcPr>
          <w:p w:rsidR="008C5C65" w:rsidRDefault="008C5C65" w:rsidP="00B3164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Diferencia</w:t>
            </w:r>
          </w:p>
        </w:tc>
      </w:tr>
      <w:tr w:rsidR="008C5C65" w:rsidTr="00B31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top w:val="none" w:sz="0" w:space="0" w:color="auto"/>
              <w:left w:val="none" w:sz="0" w:space="0" w:color="auto"/>
              <w:bottom w:val="none" w:sz="0" w:space="0" w:color="auto"/>
            </w:tcBorders>
          </w:tcPr>
          <w:p w:rsidR="008C5C65" w:rsidRDefault="008C5C65" w:rsidP="00B3164B">
            <w:pPr>
              <w:autoSpaceDE w:val="0"/>
              <w:autoSpaceDN w:val="0"/>
              <w:adjustRightInd w:val="0"/>
              <w:jc w:val="both"/>
              <w:rPr>
                <w:rFonts w:ascii="Bankinter" w:hAnsi="Bankinter" w:cs="Bankinter"/>
                <w:color w:val="000000" w:themeColor="text1"/>
                <w:sz w:val="20"/>
                <w:szCs w:val="20"/>
              </w:rPr>
            </w:pPr>
          </w:p>
        </w:tc>
        <w:tc>
          <w:tcPr>
            <w:tcW w:w="1418" w:type="dxa"/>
            <w:tcBorders>
              <w:top w:val="none" w:sz="0" w:space="0" w:color="auto"/>
              <w:bottom w:val="none" w:sz="0" w:space="0" w:color="auto"/>
            </w:tcBorders>
          </w:tcPr>
          <w:p w:rsidR="008C5C65" w:rsidRPr="00237B93" w:rsidRDefault="009D60E6" w:rsidP="00B3164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b/>
                <w:color w:val="000000" w:themeColor="text1"/>
                <w:sz w:val="20"/>
                <w:szCs w:val="20"/>
              </w:rPr>
            </w:pPr>
            <w:r>
              <w:rPr>
                <w:rFonts w:ascii="Bankinter" w:hAnsi="Bankinter" w:cs="Bankinter"/>
                <w:b/>
                <w:color w:val="000000" w:themeColor="text1"/>
                <w:sz w:val="20"/>
                <w:szCs w:val="20"/>
              </w:rPr>
              <w:t>30/09</w:t>
            </w:r>
            <w:r w:rsidR="008C5C65">
              <w:rPr>
                <w:rFonts w:ascii="Bankinter" w:hAnsi="Bankinter" w:cs="Bankinter"/>
                <w:b/>
                <w:color w:val="000000" w:themeColor="text1"/>
                <w:sz w:val="20"/>
                <w:szCs w:val="20"/>
              </w:rPr>
              <w:t>/2015</w:t>
            </w:r>
          </w:p>
        </w:tc>
        <w:tc>
          <w:tcPr>
            <w:tcW w:w="1701" w:type="dxa"/>
            <w:tcBorders>
              <w:top w:val="none" w:sz="0" w:space="0" w:color="auto"/>
              <w:bottom w:val="none" w:sz="0" w:space="0" w:color="auto"/>
            </w:tcBorders>
          </w:tcPr>
          <w:p w:rsidR="008C5C65" w:rsidRPr="00237B93" w:rsidRDefault="00410330" w:rsidP="00B3164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b/>
                <w:color w:val="000000" w:themeColor="text1"/>
                <w:sz w:val="20"/>
                <w:szCs w:val="20"/>
              </w:rPr>
            </w:pPr>
            <w:r>
              <w:rPr>
                <w:rFonts w:ascii="Bankinter" w:hAnsi="Bankinter" w:cs="Bankinter"/>
                <w:b/>
                <w:color w:val="000000" w:themeColor="text1"/>
                <w:sz w:val="20"/>
                <w:szCs w:val="20"/>
              </w:rPr>
              <w:t>30</w:t>
            </w:r>
            <w:r w:rsidR="009D60E6">
              <w:rPr>
                <w:rFonts w:ascii="Bankinter" w:hAnsi="Bankinter" w:cs="Bankinter"/>
                <w:b/>
                <w:color w:val="000000" w:themeColor="text1"/>
                <w:sz w:val="20"/>
                <w:szCs w:val="20"/>
              </w:rPr>
              <w:t>/09</w:t>
            </w:r>
            <w:r w:rsidR="008C5C65">
              <w:rPr>
                <w:rFonts w:ascii="Bankinter" w:hAnsi="Bankinter" w:cs="Bankinter"/>
                <w:b/>
                <w:color w:val="000000" w:themeColor="text1"/>
                <w:sz w:val="20"/>
                <w:szCs w:val="20"/>
              </w:rPr>
              <w:t>/</w:t>
            </w:r>
            <w:r w:rsidR="008C5C65" w:rsidRPr="00237B93">
              <w:rPr>
                <w:rFonts w:ascii="Bankinter" w:hAnsi="Bankinter" w:cs="Bankinter"/>
                <w:b/>
                <w:color w:val="000000" w:themeColor="text1"/>
                <w:sz w:val="20"/>
                <w:szCs w:val="20"/>
              </w:rPr>
              <w:t>201</w:t>
            </w:r>
            <w:r w:rsidR="008C5C65">
              <w:rPr>
                <w:rFonts w:ascii="Bankinter" w:hAnsi="Bankinter" w:cs="Bankinter"/>
                <w:b/>
                <w:color w:val="000000" w:themeColor="text1"/>
                <w:sz w:val="20"/>
                <w:szCs w:val="20"/>
              </w:rPr>
              <w:t>4</w:t>
            </w:r>
          </w:p>
        </w:tc>
        <w:tc>
          <w:tcPr>
            <w:tcW w:w="1420" w:type="dxa"/>
            <w:tcBorders>
              <w:top w:val="none" w:sz="0" w:space="0" w:color="auto"/>
              <w:bottom w:val="none" w:sz="0" w:space="0" w:color="auto"/>
            </w:tcBorders>
          </w:tcPr>
          <w:p w:rsidR="008C5C65" w:rsidRPr="00237B93" w:rsidRDefault="008C5C65" w:rsidP="00B3164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b/>
                <w:color w:val="000000" w:themeColor="text1"/>
                <w:sz w:val="20"/>
                <w:szCs w:val="20"/>
              </w:rPr>
            </w:pPr>
            <w:r w:rsidRPr="00237B93">
              <w:rPr>
                <w:rFonts w:ascii="Bankinter" w:hAnsi="Bankinter" w:cs="Bankinter"/>
                <w:b/>
                <w:color w:val="000000" w:themeColor="text1"/>
                <w:sz w:val="20"/>
                <w:szCs w:val="20"/>
              </w:rPr>
              <w:t>Importe</w:t>
            </w:r>
          </w:p>
        </w:tc>
        <w:tc>
          <w:tcPr>
            <w:tcW w:w="1729" w:type="dxa"/>
            <w:tcBorders>
              <w:top w:val="none" w:sz="0" w:space="0" w:color="auto"/>
              <w:bottom w:val="none" w:sz="0" w:space="0" w:color="auto"/>
              <w:right w:val="none" w:sz="0" w:space="0" w:color="auto"/>
            </w:tcBorders>
          </w:tcPr>
          <w:p w:rsidR="008C5C65" w:rsidRPr="00237B93" w:rsidRDefault="008C5C65" w:rsidP="00B3164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b/>
                <w:color w:val="000000" w:themeColor="text1"/>
                <w:sz w:val="20"/>
                <w:szCs w:val="20"/>
              </w:rPr>
            </w:pPr>
            <w:r w:rsidRPr="00237B93">
              <w:rPr>
                <w:rFonts w:ascii="Bankinter" w:hAnsi="Bankinter" w:cs="Bankinter"/>
                <w:b/>
                <w:color w:val="000000" w:themeColor="text1"/>
                <w:sz w:val="20"/>
                <w:szCs w:val="20"/>
              </w:rPr>
              <w:t>%</w:t>
            </w:r>
          </w:p>
        </w:tc>
      </w:tr>
      <w:tr w:rsidR="008C5C65" w:rsidTr="00B3164B">
        <w:tc>
          <w:tcPr>
            <w:cnfStyle w:val="001000000000" w:firstRow="0" w:lastRow="0" w:firstColumn="1" w:lastColumn="0" w:oddVBand="0" w:evenVBand="0" w:oddHBand="0" w:evenHBand="0" w:firstRowFirstColumn="0" w:firstRowLastColumn="0" w:lastRowFirstColumn="0" w:lastRowLastColumn="0"/>
            <w:tcW w:w="2376" w:type="dxa"/>
          </w:tcPr>
          <w:p w:rsidR="008C5C65" w:rsidRDefault="008C5C65" w:rsidP="00B3164B">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Margen de intereses (millones  €)</w:t>
            </w:r>
          </w:p>
        </w:tc>
        <w:tc>
          <w:tcPr>
            <w:tcW w:w="1418" w:type="dxa"/>
          </w:tcPr>
          <w:p w:rsidR="008C5C65" w:rsidRDefault="004931C2"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648,1</w:t>
            </w:r>
          </w:p>
        </w:tc>
        <w:tc>
          <w:tcPr>
            <w:tcW w:w="1701" w:type="dxa"/>
          </w:tcPr>
          <w:p w:rsidR="008C5C65" w:rsidRDefault="004931C2"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544,8</w:t>
            </w:r>
          </w:p>
        </w:tc>
        <w:tc>
          <w:tcPr>
            <w:tcW w:w="1420" w:type="dxa"/>
          </w:tcPr>
          <w:p w:rsidR="008C5C65" w:rsidRDefault="004931C2"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103,3</w:t>
            </w:r>
          </w:p>
        </w:tc>
        <w:tc>
          <w:tcPr>
            <w:tcW w:w="1729" w:type="dxa"/>
          </w:tcPr>
          <w:p w:rsidR="008C5C65" w:rsidRDefault="004931C2"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19</w:t>
            </w:r>
            <w:r w:rsidR="0051036C">
              <w:rPr>
                <w:rFonts w:ascii="Bankinter" w:hAnsi="Bankinter" w:cs="Bankinter"/>
                <w:color w:val="000000" w:themeColor="text1"/>
                <w:sz w:val="20"/>
                <w:szCs w:val="20"/>
              </w:rPr>
              <w:t>,0</w:t>
            </w:r>
          </w:p>
        </w:tc>
      </w:tr>
      <w:tr w:rsidR="008C5C65" w:rsidTr="00B31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top w:val="none" w:sz="0" w:space="0" w:color="auto"/>
              <w:left w:val="none" w:sz="0" w:space="0" w:color="auto"/>
              <w:bottom w:val="none" w:sz="0" w:space="0" w:color="auto"/>
            </w:tcBorders>
          </w:tcPr>
          <w:p w:rsidR="008C5C65" w:rsidRDefault="008C5C65" w:rsidP="00B3164B">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Margen bruto(millones  €)</w:t>
            </w:r>
          </w:p>
          <w:p w:rsidR="008C5C65" w:rsidRDefault="008C5C65" w:rsidP="00B3164B">
            <w:pPr>
              <w:autoSpaceDE w:val="0"/>
              <w:autoSpaceDN w:val="0"/>
              <w:adjustRightInd w:val="0"/>
              <w:rPr>
                <w:rFonts w:ascii="Bankinter" w:hAnsi="Bankinter" w:cs="Bankinter"/>
                <w:color w:val="000000" w:themeColor="text1"/>
                <w:sz w:val="20"/>
                <w:szCs w:val="20"/>
              </w:rPr>
            </w:pPr>
          </w:p>
        </w:tc>
        <w:tc>
          <w:tcPr>
            <w:tcW w:w="1418" w:type="dxa"/>
            <w:tcBorders>
              <w:top w:val="none" w:sz="0" w:space="0" w:color="auto"/>
              <w:bottom w:val="none" w:sz="0" w:space="0" w:color="auto"/>
            </w:tcBorders>
          </w:tcPr>
          <w:p w:rsidR="008C5C65" w:rsidRDefault="004931C2"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1.199,7</w:t>
            </w:r>
          </w:p>
        </w:tc>
        <w:tc>
          <w:tcPr>
            <w:tcW w:w="1701" w:type="dxa"/>
            <w:tcBorders>
              <w:top w:val="none" w:sz="0" w:space="0" w:color="auto"/>
              <w:bottom w:val="none" w:sz="0" w:space="0" w:color="auto"/>
            </w:tcBorders>
          </w:tcPr>
          <w:p w:rsidR="008C5C65" w:rsidRDefault="004931C2"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1.106,8</w:t>
            </w:r>
          </w:p>
        </w:tc>
        <w:tc>
          <w:tcPr>
            <w:tcW w:w="1420" w:type="dxa"/>
            <w:tcBorders>
              <w:top w:val="none" w:sz="0" w:space="0" w:color="auto"/>
              <w:bottom w:val="none" w:sz="0" w:space="0" w:color="auto"/>
            </w:tcBorders>
          </w:tcPr>
          <w:p w:rsidR="008C5C65" w:rsidRDefault="004931C2"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92,9</w:t>
            </w:r>
          </w:p>
        </w:tc>
        <w:tc>
          <w:tcPr>
            <w:tcW w:w="1729" w:type="dxa"/>
            <w:tcBorders>
              <w:top w:val="none" w:sz="0" w:space="0" w:color="auto"/>
              <w:bottom w:val="none" w:sz="0" w:space="0" w:color="auto"/>
              <w:right w:val="none" w:sz="0" w:space="0" w:color="auto"/>
            </w:tcBorders>
          </w:tcPr>
          <w:p w:rsidR="008C5C65" w:rsidRPr="003E7DF5" w:rsidRDefault="004931C2"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8,4</w:t>
            </w:r>
          </w:p>
        </w:tc>
      </w:tr>
      <w:tr w:rsidR="008C5C65" w:rsidTr="00B3164B">
        <w:tc>
          <w:tcPr>
            <w:cnfStyle w:val="001000000000" w:firstRow="0" w:lastRow="0" w:firstColumn="1" w:lastColumn="0" w:oddVBand="0" w:evenVBand="0" w:oddHBand="0" w:evenHBand="0" w:firstRowFirstColumn="0" w:firstRowLastColumn="0" w:lastRowFirstColumn="0" w:lastRowLastColumn="0"/>
            <w:tcW w:w="2376" w:type="dxa"/>
          </w:tcPr>
          <w:p w:rsidR="008C5C65" w:rsidRDefault="008C5C65" w:rsidP="00B3164B">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Resultado antes de deterioro (millones  €)</w:t>
            </w:r>
          </w:p>
        </w:tc>
        <w:tc>
          <w:tcPr>
            <w:tcW w:w="1418" w:type="dxa"/>
          </w:tcPr>
          <w:p w:rsidR="008C5C65" w:rsidRPr="003E7DF5" w:rsidRDefault="004931C2"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627,3</w:t>
            </w:r>
          </w:p>
        </w:tc>
        <w:tc>
          <w:tcPr>
            <w:tcW w:w="1701" w:type="dxa"/>
          </w:tcPr>
          <w:p w:rsidR="008C5C65" w:rsidRPr="003E7DF5" w:rsidRDefault="004931C2"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566,2</w:t>
            </w:r>
          </w:p>
        </w:tc>
        <w:tc>
          <w:tcPr>
            <w:tcW w:w="1420" w:type="dxa"/>
          </w:tcPr>
          <w:p w:rsidR="008C5C65" w:rsidRPr="003E7DF5" w:rsidRDefault="004931C2"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61,1</w:t>
            </w:r>
          </w:p>
        </w:tc>
        <w:tc>
          <w:tcPr>
            <w:tcW w:w="1729" w:type="dxa"/>
          </w:tcPr>
          <w:p w:rsidR="008C5C65" w:rsidRPr="003E7DF5" w:rsidRDefault="004931C2"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10,8</w:t>
            </w:r>
          </w:p>
        </w:tc>
      </w:tr>
      <w:tr w:rsidR="008C5C65" w:rsidTr="00B31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top w:val="none" w:sz="0" w:space="0" w:color="auto"/>
              <w:left w:val="none" w:sz="0" w:space="0" w:color="auto"/>
              <w:bottom w:val="none" w:sz="0" w:space="0" w:color="auto"/>
            </w:tcBorders>
          </w:tcPr>
          <w:p w:rsidR="008C5C65" w:rsidRDefault="008C5C65" w:rsidP="00B3164B">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 xml:space="preserve">Resultado antes de impuestos </w:t>
            </w:r>
          </w:p>
          <w:p w:rsidR="008C5C65" w:rsidRDefault="008C5C65" w:rsidP="00B3164B">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(millones €)</w:t>
            </w:r>
          </w:p>
        </w:tc>
        <w:tc>
          <w:tcPr>
            <w:tcW w:w="1418" w:type="dxa"/>
            <w:tcBorders>
              <w:top w:val="none" w:sz="0" w:space="0" w:color="auto"/>
              <w:bottom w:val="none" w:sz="0" w:space="0" w:color="auto"/>
            </w:tcBorders>
          </w:tcPr>
          <w:p w:rsidR="008C5C65" w:rsidRPr="003E7DF5" w:rsidRDefault="004931C2"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419,1</w:t>
            </w:r>
          </w:p>
        </w:tc>
        <w:tc>
          <w:tcPr>
            <w:tcW w:w="1701" w:type="dxa"/>
            <w:tcBorders>
              <w:top w:val="none" w:sz="0" w:space="0" w:color="auto"/>
              <w:bottom w:val="none" w:sz="0" w:space="0" w:color="auto"/>
            </w:tcBorders>
          </w:tcPr>
          <w:p w:rsidR="008C5C65" w:rsidRPr="003E7DF5" w:rsidRDefault="004931C2"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327</w:t>
            </w:r>
            <w:r w:rsidR="00271E0B">
              <w:rPr>
                <w:rFonts w:ascii="Bankinter" w:hAnsi="Bankinter" w:cs="Bankinter"/>
                <w:color w:val="000000" w:themeColor="text1"/>
                <w:sz w:val="20"/>
                <w:szCs w:val="20"/>
              </w:rPr>
              <w:t>,0</w:t>
            </w:r>
          </w:p>
        </w:tc>
        <w:tc>
          <w:tcPr>
            <w:tcW w:w="1420" w:type="dxa"/>
            <w:tcBorders>
              <w:top w:val="none" w:sz="0" w:space="0" w:color="auto"/>
              <w:bottom w:val="none" w:sz="0" w:space="0" w:color="auto"/>
            </w:tcBorders>
          </w:tcPr>
          <w:p w:rsidR="008C5C65" w:rsidRPr="003E7DF5" w:rsidRDefault="004931C2"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92</w:t>
            </w:r>
            <w:r w:rsidR="00271E0B">
              <w:rPr>
                <w:rFonts w:ascii="Bankinter" w:hAnsi="Bankinter" w:cs="Bankinter"/>
                <w:color w:val="000000" w:themeColor="text1"/>
                <w:sz w:val="20"/>
                <w:szCs w:val="20"/>
              </w:rPr>
              <w:t>,0</w:t>
            </w:r>
          </w:p>
        </w:tc>
        <w:tc>
          <w:tcPr>
            <w:tcW w:w="1729" w:type="dxa"/>
            <w:tcBorders>
              <w:top w:val="none" w:sz="0" w:space="0" w:color="auto"/>
              <w:bottom w:val="none" w:sz="0" w:space="0" w:color="auto"/>
              <w:right w:val="none" w:sz="0" w:space="0" w:color="auto"/>
            </w:tcBorders>
          </w:tcPr>
          <w:p w:rsidR="008C5C65" w:rsidRPr="003E7DF5" w:rsidRDefault="00850B90"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28,1</w:t>
            </w:r>
          </w:p>
        </w:tc>
      </w:tr>
      <w:tr w:rsidR="008C5C65" w:rsidTr="00B3164B">
        <w:tc>
          <w:tcPr>
            <w:cnfStyle w:val="001000000000" w:firstRow="0" w:lastRow="0" w:firstColumn="1" w:lastColumn="0" w:oddVBand="0" w:evenVBand="0" w:oddHBand="0" w:evenHBand="0" w:firstRowFirstColumn="0" w:firstRowLastColumn="0" w:lastRowFirstColumn="0" w:lastRowLastColumn="0"/>
            <w:tcW w:w="2376" w:type="dxa"/>
          </w:tcPr>
          <w:p w:rsidR="008C5C65" w:rsidRDefault="008C5C65" w:rsidP="00B3164B">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Resultado neto atribuido al grupo (millones €)</w:t>
            </w:r>
          </w:p>
        </w:tc>
        <w:tc>
          <w:tcPr>
            <w:tcW w:w="1418" w:type="dxa"/>
          </w:tcPr>
          <w:p w:rsidR="008C5C65" w:rsidRPr="003E7DF5" w:rsidRDefault="004931C2"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299,6</w:t>
            </w:r>
          </w:p>
        </w:tc>
        <w:tc>
          <w:tcPr>
            <w:tcW w:w="1701" w:type="dxa"/>
          </w:tcPr>
          <w:p w:rsidR="008C5C65" w:rsidRPr="003E7DF5" w:rsidRDefault="004931C2"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229</w:t>
            </w:r>
            <w:r w:rsidR="00271E0B">
              <w:rPr>
                <w:rFonts w:ascii="Bankinter" w:hAnsi="Bankinter" w:cs="Bankinter"/>
                <w:color w:val="000000" w:themeColor="text1"/>
                <w:sz w:val="20"/>
                <w:szCs w:val="20"/>
              </w:rPr>
              <w:t>,0</w:t>
            </w:r>
          </w:p>
        </w:tc>
        <w:tc>
          <w:tcPr>
            <w:tcW w:w="1420" w:type="dxa"/>
          </w:tcPr>
          <w:p w:rsidR="008C5C65" w:rsidRPr="003E7DF5" w:rsidRDefault="004931C2"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70,6</w:t>
            </w:r>
          </w:p>
        </w:tc>
        <w:tc>
          <w:tcPr>
            <w:tcW w:w="1729" w:type="dxa"/>
          </w:tcPr>
          <w:p w:rsidR="008C5C65" w:rsidRPr="003E7DF5" w:rsidRDefault="009F02DB"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30,8</w:t>
            </w:r>
          </w:p>
        </w:tc>
      </w:tr>
      <w:tr w:rsidR="008C5C65" w:rsidTr="00B31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top w:val="none" w:sz="0" w:space="0" w:color="auto"/>
              <w:left w:val="none" w:sz="0" w:space="0" w:color="auto"/>
              <w:bottom w:val="none" w:sz="0" w:space="0" w:color="auto"/>
            </w:tcBorders>
          </w:tcPr>
          <w:p w:rsidR="008C5C65" w:rsidRDefault="008C5C65" w:rsidP="00B3164B">
            <w:pPr>
              <w:autoSpaceDE w:val="0"/>
              <w:autoSpaceDN w:val="0"/>
              <w:adjustRightInd w:val="0"/>
              <w:rPr>
                <w:rFonts w:ascii="Bankinter" w:hAnsi="Bankinter" w:cs="Bankinter"/>
                <w:color w:val="000000" w:themeColor="text1"/>
                <w:sz w:val="20"/>
                <w:szCs w:val="20"/>
              </w:rPr>
            </w:pPr>
          </w:p>
        </w:tc>
        <w:tc>
          <w:tcPr>
            <w:tcW w:w="1418" w:type="dxa"/>
            <w:tcBorders>
              <w:top w:val="none" w:sz="0" w:space="0" w:color="auto"/>
              <w:bottom w:val="none" w:sz="0" w:space="0" w:color="auto"/>
            </w:tcBorders>
          </w:tcPr>
          <w:p w:rsidR="008C5C65" w:rsidRPr="003E7DF5" w:rsidRDefault="008C5C65"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p>
        </w:tc>
        <w:tc>
          <w:tcPr>
            <w:tcW w:w="1701" w:type="dxa"/>
            <w:tcBorders>
              <w:top w:val="none" w:sz="0" w:space="0" w:color="auto"/>
              <w:bottom w:val="none" w:sz="0" w:space="0" w:color="auto"/>
            </w:tcBorders>
          </w:tcPr>
          <w:p w:rsidR="008C5C65" w:rsidRPr="003E7DF5" w:rsidRDefault="008C5C65"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p>
        </w:tc>
        <w:tc>
          <w:tcPr>
            <w:tcW w:w="1420" w:type="dxa"/>
            <w:tcBorders>
              <w:top w:val="none" w:sz="0" w:space="0" w:color="auto"/>
              <w:bottom w:val="none" w:sz="0" w:space="0" w:color="auto"/>
            </w:tcBorders>
          </w:tcPr>
          <w:p w:rsidR="008C5C65" w:rsidRPr="003E7DF5" w:rsidRDefault="008C5C65"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p>
        </w:tc>
        <w:tc>
          <w:tcPr>
            <w:tcW w:w="1729" w:type="dxa"/>
            <w:tcBorders>
              <w:top w:val="none" w:sz="0" w:space="0" w:color="auto"/>
              <w:bottom w:val="none" w:sz="0" w:space="0" w:color="auto"/>
              <w:right w:val="none" w:sz="0" w:space="0" w:color="auto"/>
            </w:tcBorders>
          </w:tcPr>
          <w:p w:rsidR="008C5C65" w:rsidRPr="003E7DF5" w:rsidRDefault="008C5C65"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p>
        </w:tc>
      </w:tr>
      <w:tr w:rsidR="008C5C65" w:rsidTr="00B3164B">
        <w:tc>
          <w:tcPr>
            <w:cnfStyle w:val="001000000000" w:firstRow="0" w:lastRow="0" w:firstColumn="1" w:lastColumn="0" w:oddVBand="0" w:evenVBand="0" w:oddHBand="0" w:evenHBand="0" w:firstRowFirstColumn="0" w:firstRowLastColumn="0" w:lastRowFirstColumn="0" w:lastRowLastColumn="0"/>
            <w:tcW w:w="2376" w:type="dxa"/>
          </w:tcPr>
          <w:p w:rsidR="008C5C65" w:rsidRDefault="008C5C65" w:rsidP="00B3164B">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Activos totales (millones  €)</w:t>
            </w:r>
          </w:p>
        </w:tc>
        <w:tc>
          <w:tcPr>
            <w:tcW w:w="1418" w:type="dxa"/>
          </w:tcPr>
          <w:p w:rsidR="008C5C65" w:rsidRPr="003E7DF5" w:rsidRDefault="009F02DB"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58.625,8</w:t>
            </w:r>
          </w:p>
        </w:tc>
        <w:tc>
          <w:tcPr>
            <w:tcW w:w="1701" w:type="dxa"/>
          </w:tcPr>
          <w:p w:rsidR="008C5C65" w:rsidRPr="003E7DF5" w:rsidRDefault="009F02DB"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56.335,4</w:t>
            </w:r>
          </w:p>
        </w:tc>
        <w:tc>
          <w:tcPr>
            <w:tcW w:w="1420" w:type="dxa"/>
          </w:tcPr>
          <w:p w:rsidR="008C5C65" w:rsidRPr="003E7DF5" w:rsidRDefault="009F02DB"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2.290,4</w:t>
            </w:r>
          </w:p>
        </w:tc>
        <w:tc>
          <w:tcPr>
            <w:tcW w:w="1729" w:type="dxa"/>
          </w:tcPr>
          <w:p w:rsidR="008C5C65" w:rsidRPr="003E7DF5" w:rsidRDefault="009F02DB"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4,1</w:t>
            </w:r>
          </w:p>
        </w:tc>
      </w:tr>
      <w:tr w:rsidR="008C5C65" w:rsidTr="00B31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top w:val="none" w:sz="0" w:space="0" w:color="auto"/>
              <w:left w:val="none" w:sz="0" w:space="0" w:color="auto"/>
              <w:bottom w:val="none" w:sz="0" w:space="0" w:color="auto"/>
            </w:tcBorders>
          </w:tcPr>
          <w:p w:rsidR="008C5C65" w:rsidRDefault="008C5C65" w:rsidP="00B3164B">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Créditos sobre clientes (millones €)</w:t>
            </w:r>
          </w:p>
        </w:tc>
        <w:tc>
          <w:tcPr>
            <w:tcW w:w="1418" w:type="dxa"/>
            <w:tcBorders>
              <w:top w:val="none" w:sz="0" w:space="0" w:color="auto"/>
              <w:bottom w:val="none" w:sz="0" w:space="0" w:color="auto"/>
            </w:tcBorders>
          </w:tcPr>
          <w:p w:rsidR="008C5C65" w:rsidRPr="003E7DF5" w:rsidRDefault="009F02DB"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43.379,6</w:t>
            </w:r>
          </w:p>
        </w:tc>
        <w:tc>
          <w:tcPr>
            <w:tcW w:w="1701" w:type="dxa"/>
            <w:tcBorders>
              <w:top w:val="none" w:sz="0" w:space="0" w:color="auto"/>
              <w:bottom w:val="none" w:sz="0" w:space="0" w:color="auto"/>
            </w:tcBorders>
          </w:tcPr>
          <w:p w:rsidR="008C5C65" w:rsidRPr="003E7DF5" w:rsidRDefault="009F02DB"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41.675,5</w:t>
            </w:r>
          </w:p>
        </w:tc>
        <w:tc>
          <w:tcPr>
            <w:tcW w:w="1420" w:type="dxa"/>
            <w:tcBorders>
              <w:top w:val="none" w:sz="0" w:space="0" w:color="auto"/>
              <w:bottom w:val="none" w:sz="0" w:space="0" w:color="auto"/>
            </w:tcBorders>
          </w:tcPr>
          <w:p w:rsidR="008C5C65" w:rsidRPr="003E7DF5" w:rsidRDefault="009F02DB"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1.704,2</w:t>
            </w:r>
          </w:p>
        </w:tc>
        <w:tc>
          <w:tcPr>
            <w:tcW w:w="1729" w:type="dxa"/>
            <w:tcBorders>
              <w:top w:val="none" w:sz="0" w:space="0" w:color="auto"/>
              <w:bottom w:val="none" w:sz="0" w:space="0" w:color="auto"/>
              <w:right w:val="none" w:sz="0" w:space="0" w:color="auto"/>
            </w:tcBorders>
          </w:tcPr>
          <w:p w:rsidR="008C5C65" w:rsidRPr="003E7DF5" w:rsidRDefault="009F02DB"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4,1</w:t>
            </w:r>
          </w:p>
        </w:tc>
      </w:tr>
      <w:tr w:rsidR="008C5C65" w:rsidTr="00B3164B">
        <w:tc>
          <w:tcPr>
            <w:cnfStyle w:val="001000000000" w:firstRow="0" w:lastRow="0" w:firstColumn="1" w:lastColumn="0" w:oddVBand="0" w:evenVBand="0" w:oddHBand="0" w:evenHBand="0" w:firstRowFirstColumn="0" w:firstRowLastColumn="0" w:lastRowFirstColumn="0" w:lastRowLastColumn="0"/>
            <w:tcW w:w="2376" w:type="dxa"/>
          </w:tcPr>
          <w:p w:rsidR="008C5C65" w:rsidRDefault="008C5C65" w:rsidP="00B3164B">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 xml:space="preserve">Recursos controlados </w:t>
            </w:r>
            <w:r>
              <w:rPr>
                <w:rFonts w:ascii="Bankinter" w:hAnsi="Bankinter" w:cs="Bankinter"/>
                <w:color w:val="000000" w:themeColor="text1"/>
                <w:sz w:val="20"/>
                <w:szCs w:val="20"/>
              </w:rPr>
              <w:lastRenderedPageBreak/>
              <w:t>(millones €)</w:t>
            </w:r>
          </w:p>
        </w:tc>
        <w:tc>
          <w:tcPr>
            <w:tcW w:w="1418" w:type="dxa"/>
          </w:tcPr>
          <w:p w:rsidR="008C5C65" w:rsidRPr="003E7DF5" w:rsidRDefault="009F02DB"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lastRenderedPageBreak/>
              <w:t>62.905</w:t>
            </w:r>
            <w:r w:rsidR="00271E0B">
              <w:rPr>
                <w:rFonts w:ascii="Bankinter" w:hAnsi="Bankinter" w:cs="Bankinter"/>
                <w:color w:val="000000" w:themeColor="text1"/>
                <w:sz w:val="20"/>
                <w:szCs w:val="20"/>
              </w:rPr>
              <w:t>,0</w:t>
            </w:r>
          </w:p>
        </w:tc>
        <w:tc>
          <w:tcPr>
            <w:tcW w:w="1701" w:type="dxa"/>
          </w:tcPr>
          <w:p w:rsidR="008C5C65" w:rsidRPr="003E7DF5" w:rsidRDefault="009F02DB"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56.333,1</w:t>
            </w:r>
          </w:p>
        </w:tc>
        <w:tc>
          <w:tcPr>
            <w:tcW w:w="1420" w:type="dxa"/>
          </w:tcPr>
          <w:p w:rsidR="008C5C65" w:rsidRPr="003E7DF5" w:rsidRDefault="009F02DB"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6.571,9</w:t>
            </w:r>
          </w:p>
        </w:tc>
        <w:tc>
          <w:tcPr>
            <w:tcW w:w="1729" w:type="dxa"/>
          </w:tcPr>
          <w:p w:rsidR="008C5C65" w:rsidRPr="003E7DF5" w:rsidRDefault="009F02DB"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11,7</w:t>
            </w:r>
          </w:p>
        </w:tc>
      </w:tr>
      <w:tr w:rsidR="008C5C65" w:rsidTr="00B31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top w:val="none" w:sz="0" w:space="0" w:color="auto"/>
              <w:left w:val="none" w:sz="0" w:space="0" w:color="auto"/>
              <w:bottom w:val="none" w:sz="0" w:space="0" w:color="auto"/>
            </w:tcBorders>
          </w:tcPr>
          <w:p w:rsidR="008C5C65" w:rsidRDefault="008C5C65" w:rsidP="00B3164B">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lastRenderedPageBreak/>
              <w:t>Recursos gestionados fuera balance (millones  €)</w:t>
            </w:r>
          </w:p>
        </w:tc>
        <w:tc>
          <w:tcPr>
            <w:tcW w:w="1418" w:type="dxa"/>
            <w:tcBorders>
              <w:top w:val="none" w:sz="0" w:space="0" w:color="auto"/>
              <w:bottom w:val="none" w:sz="0" w:space="0" w:color="auto"/>
            </w:tcBorders>
          </w:tcPr>
          <w:p w:rsidR="008C5C65" w:rsidRPr="003E7DF5" w:rsidRDefault="00271E0B"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20.142,8</w:t>
            </w:r>
          </w:p>
        </w:tc>
        <w:tc>
          <w:tcPr>
            <w:tcW w:w="1701" w:type="dxa"/>
            <w:tcBorders>
              <w:top w:val="none" w:sz="0" w:space="0" w:color="auto"/>
              <w:bottom w:val="none" w:sz="0" w:space="0" w:color="auto"/>
            </w:tcBorders>
          </w:tcPr>
          <w:p w:rsidR="008C5C65" w:rsidRPr="003E7DF5" w:rsidRDefault="00271E0B"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15.921,5</w:t>
            </w:r>
          </w:p>
        </w:tc>
        <w:tc>
          <w:tcPr>
            <w:tcW w:w="1420" w:type="dxa"/>
            <w:tcBorders>
              <w:top w:val="none" w:sz="0" w:space="0" w:color="auto"/>
              <w:bottom w:val="none" w:sz="0" w:space="0" w:color="auto"/>
            </w:tcBorders>
          </w:tcPr>
          <w:p w:rsidR="008C5C65" w:rsidRPr="003E7DF5" w:rsidRDefault="00271E0B"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4.221,4</w:t>
            </w:r>
          </w:p>
        </w:tc>
        <w:tc>
          <w:tcPr>
            <w:tcW w:w="1729" w:type="dxa"/>
            <w:tcBorders>
              <w:top w:val="none" w:sz="0" w:space="0" w:color="auto"/>
              <w:bottom w:val="none" w:sz="0" w:space="0" w:color="auto"/>
              <w:right w:val="none" w:sz="0" w:space="0" w:color="auto"/>
            </w:tcBorders>
          </w:tcPr>
          <w:p w:rsidR="008C5C65" w:rsidRPr="003E7DF5" w:rsidRDefault="00271E0B"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26,5</w:t>
            </w:r>
          </w:p>
        </w:tc>
      </w:tr>
      <w:tr w:rsidR="008C5C65" w:rsidTr="00B3164B">
        <w:tc>
          <w:tcPr>
            <w:cnfStyle w:val="001000000000" w:firstRow="0" w:lastRow="0" w:firstColumn="1" w:lastColumn="0" w:oddVBand="0" w:evenVBand="0" w:oddHBand="0" w:evenHBand="0" w:firstRowFirstColumn="0" w:firstRowLastColumn="0" w:lastRowFirstColumn="0" w:lastRowLastColumn="0"/>
            <w:tcW w:w="2376" w:type="dxa"/>
          </w:tcPr>
          <w:p w:rsidR="008C5C65" w:rsidRDefault="008C5C65" w:rsidP="00B3164B">
            <w:pPr>
              <w:autoSpaceDE w:val="0"/>
              <w:autoSpaceDN w:val="0"/>
              <w:adjustRightInd w:val="0"/>
              <w:rPr>
                <w:rFonts w:ascii="Bankinter" w:hAnsi="Bankinter" w:cs="Bankinter"/>
                <w:color w:val="000000" w:themeColor="text1"/>
                <w:sz w:val="20"/>
                <w:szCs w:val="20"/>
              </w:rPr>
            </w:pPr>
          </w:p>
        </w:tc>
        <w:tc>
          <w:tcPr>
            <w:tcW w:w="1418" w:type="dxa"/>
          </w:tcPr>
          <w:p w:rsidR="008C5C65" w:rsidRPr="003E7DF5" w:rsidRDefault="008C5C65"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p>
        </w:tc>
        <w:tc>
          <w:tcPr>
            <w:tcW w:w="1701" w:type="dxa"/>
          </w:tcPr>
          <w:p w:rsidR="008C5C65" w:rsidRPr="003E7DF5" w:rsidRDefault="008C5C65"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p>
        </w:tc>
        <w:tc>
          <w:tcPr>
            <w:tcW w:w="1420" w:type="dxa"/>
          </w:tcPr>
          <w:p w:rsidR="008C5C65" w:rsidRPr="003E7DF5" w:rsidRDefault="008C5C65"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p>
        </w:tc>
        <w:tc>
          <w:tcPr>
            <w:tcW w:w="1729" w:type="dxa"/>
          </w:tcPr>
          <w:p w:rsidR="008C5C65" w:rsidRPr="003E7DF5" w:rsidRDefault="008C5C65"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p>
        </w:tc>
      </w:tr>
      <w:tr w:rsidR="008C5C65" w:rsidTr="00B31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top w:val="none" w:sz="0" w:space="0" w:color="auto"/>
              <w:left w:val="none" w:sz="0" w:space="0" w:color="auto"/>
              <w:bottom w:val="none" w:sz="0" w:space="0" w:color="auto"/>
            </w:tcBorders>
          </w:tcPr>
          <w:p w:rsidR="008C5C65" w:rsidRDefault="008C5C65" w:rsidP="00B3164B">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Índice de morosidad (%)</w:t>
            </w:r>
          </w:p>
        </w:tc>
        <w:tc>
          <w:tcPr>
            <w:tcW w:w="1418" w:type="dxa"/>
            <w:tcBorders>
              <w:top w:val="none" w:sz="0" w:space="0" w:color="auto"/>
              <w:bottom w:val="none" w:sz="0" w:space="0" w:color="auto"/>
            </w:tcBorders>
          </w:tcPr>
          <w:p w:rsidR="008C5C65" w:rsidRPr="003E7DF5" w:rsidRDefault="009F02DB"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4,35</w:t>
            </w:r>
          </w:p>
        </w:tc>
        <w:tc>
          <w:tcPr>
            <w:tcW w:w="1701" w:type="dxa"/>
            <w:tcBorders>
              <w:top w:val="none" w:sz="0" w:space="0" w:color="auto"/>
              <w:bottom w:val="none" w:sz="0" w:space="0" w:color="auto"/>
            </w:tcBorders>
          </w:tcPr>
          <w:p w:rsidR="008C5C65" w:rsidRPr="003E7DF5" w:rsidRDefault="008C5C65"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4,96</w:t>
            </w:r>
          </w:p>
        </w:tc>
        <w:tc>
          <w:tcPr>
            <w:tcW w:w="1420" w:type="dxa"/>
            <w:tcBorders>
              <w:top w:val="none" w:sz="0" w:space="0" w:color="auto"/>
              <w:bottom w:val="none" w:sz="0" w:space="0" w:color="auto"/>
            </w:tcBorders>
          </w:tcPr>
          <w:p w:rsidR="008C5C65" w:rsidRPr="003E7DF5" w:rsidRDefault="009F02DB"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-0,61</w:t>
            </w:r>
            <w:r w:rsidR="008C5C65">
              <w:rPr>
                <w:rFonts w:ascii="Bankinter" w:hAnsi="Bankinter" w:cs="Bankinter"/>
                <w:color w:val="000000" w:themeColor="text1"/>
                <w:sz w:val="20"/>
                <w:szCs w:val="20"/>
              </w:rPr>
              <w:t xml:space="preserve"> p.p.</w:t>
            </w:r>
          </w:p>
        </w:tc>
        <w:tc>
          <w:tcPr>
            <w:tcW w:w="1729" w:type="dxa"/>
            <w:tcBorders>
              <w:top w:val="none" w:sz="0" w:space="0" w:color="auto"/>
              <w:bottom w:val="none" w:sz="0" w:space="0" w:color="auto"/>
              <w:right w:val="none" w:sz="0" w:space="0" w:color="auto"/>
            </w:tcBorders>
          </w:tcPr>
          <w:p w:rsidR="008C5C65" w:rsidRPr="003E7DF5" w:rsidRDefault="009F02DB"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-12,3</w:t>
            </w:r>
            <w:r w:rsidR="00271E0B">
              <w:rPr>
                <w:rFonts w:ascii="Bankinter" w:hAnsi="Bankinter" w:cs="Bankinter"/>
                <w:color w:val="000000" w:themeColor="text1"/>
                <w:sz w:val="20"/>
                <w:szCs w:val="20"/>
              </w:rPr>
              <w:t>0</w:t>
            </w:r>
          </w:p>
        </w:tc>
      </w:tr>
      <w:tr w:rsidR="008C5C65" w:rsidTr="00B3164B">
        <w:tc>
          <w:tcPr>
            <w:cnfStyle w:val="001000000000" w:firstRow="0" w:lastRow="0" w:firstColumn="1" w:lastColumn="0" w:oddVBand="0" w:evenVBand="0" w:oddHBand="0" w:evenHBand="0" w:firstRowFirstColumn="0" w:firstRowLastColumn="0" w:lastRowFirstColumn="0" w:lastRowLastColumn="0"/>
            <w:tcW w:w="2376" w:type="dxa"/>
          </w:tcPr>
          <w:p w:rsidR="008C5C65" w:rsidRDefault="008C5C65" w:rsidP="00B3164B">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Ratio de eficiencia (%)*</w:t>
            </w:r>
          </w:p>
        </w:tc>
        <w:tc>
          <w:tcPr>
            <w:tcW w:w="1418" w:type="dxa"/>
          </w:tcPr>
          <w:p w:rsidR="008C5C65" w:rsidRPr="003E7DF5" w:rsidRDefault="00111CAC"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44</w:t>
            </w:r>
            <w:r w:rsidR="0051036C">
              <w:rPr>
                <w:rFonts w:ascii="Bankinter" w:hAnsi="Bankinter" w:cs="Bankinter"/>
                <w:color w:val="000000" w:themeColor="text1"/>
                <w:sz w:val="20"/>
                <w:szCs w:val="20"/>
              </w:rPr>
              <w:t>,0</w:t>
            </w:r>
          </w:p>
        </w:tc>
        <w:tc>
          <w:tcPr>
            <w:tcW w:w="1701" w:type="dxa"/>
          </w:tcPr>
          <w:p w:rsidR="008C5C65" w:rsidRPr="003E7DF5" w:rsidRDefault="00111CAC"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45,3</w:t>
            </w:r>
          </w:p>
        </w:tc>
        <w:tc>
          <w:tcPr>
            <w:tcW w:w="1420" w:type="dxa"/>
          </w:tcPr>
          <w:p w:rsidR="008C5C65" w:rsidRPr="003E7DF5" w:rsidRDefault="00641E7D"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-1,30</w:t>
            </w:r>
            <w:r w:rsidR="008C5C65">
              <w:rPr>
                <w:rFonts w:ascii="Bankinter" w:hAnsi="Bankinter" w:cs="Bankinter"/>
                <w:color w:val="000000" w:themeColor="text1"/>
                <w:sz w:val="20"/>
                <w:szCs w:val="20"/>
              </w:rPr>
              <w:t xml:space="preserve"> p.p.</w:t>
            </w:r>
          </w:p>
        </w:tc>
        <w:tc>
          <w:tcPr>
            <w:tcW w:w="1729" w:type="dxa"/>
          </w:tcPr>
          <w:p w:rsidR="008C5C65" w:rsidRPr="003E7DF5" w:rsidRDefault="00641E7D"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-2,87</w:t>
            </w:r>
          </w:p>
        </w:tc>
      </w:tr>
      <w:tr w:rsidR="008C5C65" w:rsidTr="00B31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top w:val="none" w:sz="0" w:space="0" w:color="auto"/>
              <w:left w:val="none" w:sz="0" w:space="0" w:color="auto"/>
              <w:bottom w:val="none" w:sz="0" w:space="0" w:color="auto"/>
            </w:tcBorders>
          </w:tcPr>
          <w:p w:rsidR="008C5C65" w:rsidRDefault="008C5C65" w:rsidP="00B3164B">
            <w:pPr>
              <w:autoSpaceDE w:val="0"/>
              <w:autoSpaceDN w:val="0"/>
              <w:adjustRightInd w:val="0"/>
              <w:rPr>
                <w:rFonts w:ascii="Bankinter" w:hAnsi="Bankinter" w:cs="Bankinter"/>
                <w:color w:val="000000" w:themeColor="text1"/>
                <w:sz w:val="20"/>
                <w:szCs w:val="20"/>
              </w:rPr>
            </w:pPr>
            <w:r>
              <w:rPr>
                <w:rFonts w:ascii="Bankinter" w:hAnsi="Bankinter" w:cs="Bankinter"/>
                <w:color w:val="000000" w:themeColor="text1"/>
                <w:sz w:val="20"/>
                <w:szCs w:val="20"/>
              </w:rPr>
              <w:t>ROE (%)</w:t>
            </w:r>
          </w:p>
        </w:tc>
        <w:tc>
          <w:tcPr>
            <w:tcW w:w="1418" w:type="dxa"/>
            <w:tcBorders>
              <w:top w:val="none" w:sz="0" w:space="0" w:color="auto"/>
              <w:bottom w:val="none" w:sz="0" w:space="0" w:color="auto"/>
            </w:tcBorders>
          </w:tcPr>
          <w:p w:rsidR="008C5C65" w:rsidRPr="003E7DF5" w:rsidRDefault="009D60E6"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10,65</w:t>
            </w:r>
          </w:p>
        </w:tc>
        <w:tc>
          <w:tcPr>
            <w:tcW w:w="1701" w:type="dxa"/>
            <w:tcBorders>
              <w:top w:val="none" w:sz="0" w:space="0" w:color="auto"/>
              <w:bottom w:val="none" w:sz="0" w:space="0" w:color="auto"/>
            </w:tcBorders>
          </w:tcPr>
          <w:p w:rsidR="008C5C65" w:rsidRDefault="009D60E6"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8,28</w:t>
            </w:r>
          </w:p>
        </w:tc>
        <w:tc>
          <w:tcPr>
            <w:tcW w:w="1420" w:type="dxa"/>
            <w:tcBorders>
              <w:top w:val="none" w:sz="0" w:space="0" w:color="auto"/>
              <w:bottom w:val="none" w:sz="0" w:space="0" w:color="auto"/>
            </w:tcBorders>
          </w:tcPr>
          <w:p w:rsidR="008C5C65" w:rsidRDefault="009D60E6"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2,37</w:t>
            </w:r>
            <w:r w:rsidR="008C5C65">
              <w:rPr>
                <w:rFonts w:ascii="Bankinter" w:hAnsi="Bankinter" w:cs="Bankinter"/>
                <w:color w:val="000000" w:themeColor="text1"/>
                <w:sz w:val="20"/>
                <w:szCs w:val="20"/>
              </w:rPr>
              <w:t xml:space="preserve"> p.p.</w:t>
            </w:r>
          </w:p>
        </w:tc>
        <w:tc>
          <w:tcPr>
            <w:tcW w:w="1729" w:type="dxa"/>
            <w:tcBorders>
              <w:top w:val="none" w:sz="0" w:space="0" w:color="auto"/>
              <w:bottom w:val="none" w:sz="0" w:space="0" w:color="auto"/>
              <w:right w:val="none" w:sz="0" w:space="0" w:color="auto"/>
            </w:tcBorders>
          </w:tcPr>
          <w:p w:rsidR="008C5C65" w:rsidRPr="003E7DF5" w:rsidRDefault="009D60E6" w:rsidP="004931C2">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28,62</w:t>
            </w:r>
          </w:p>
        </w:tc>
      </w:tr>
      <w:tr w:rsidR="008C5C65" w:rsidTr="00B3164B">
        <w:tc>
          <w:tcPr>
            <w:cnfStyle w:val="001000000000" w:firstRow="0" w:lastRow="0" w:firstColumn="1" w:lastColumn="0" w:oddVBand="0" w:evenVBand="0" w:oddHBand="0" w:evenHBand="0" w:firstRowFirstColumn="0" w:firstRowLastColumn="0" w:lastRowFirstColumn="0" w:lastRowLastColumn="0"/>
            <w:tcW w:w="2376" w:type="dxa"/>
          </w:tcPr>
          <w:p w:rsidR="008C5C65" w:rsidRPr="00AA6970" w:rsidRDefault="008C5C65" w:rsidP="00B3164B">
            <w:pPr>
              <w:autoSpaceDE w:val="0"/>
              <w:autoSpaceDN w:val="0"/>
              <w:adjustRightInd w:val="0"/>
              <w:rPr>
                <w:rFonts w:ascii="Bankinter" w:hAnsi="Bankinter" w:cs="Bankinter"/>
                <w:color w:val="000000" w:themeColor="text1"/>
                <w:sz w:val="20"/>
                <w:szCs w:val="20"/>
                <w:lang w:val="en-US"/>
              </w:rPr>
            </w:pPr>
            <w:r w:rsidRPr="00AA6970">
              <w:rPr>
                <w:rFonts w:ascii="Bankinter" w:hAnsi="Bankinter" w:cs="Bankinter"/>
                <w:color w:val="000000" w:themeColor="text1"/>
                <w:sz w:val="20"/>
                <w:szCs w:val="20"/>
                <w:lang w:val="en-US"/>
              </w:rPr>
              <w:t>Ratio de capital CET1</w:t>
            </w:r>
          </w:p>
          <w:p w:rsidR="008C5C65" w:rsidRPr="00AA6970" w:rsidRDefault="008C5C65" w:rsidP="00B3164B">
            <w:pPr>
              <w:autoSpaceDE w:val="0"/>
              <w:autoSpaceDN w:val="0"/>
              <w:adjustRightInd w:val="0"/>
              <w:rPr>
                <w:rFonts w:ascii="Bankinter" w:hAnsi="Bankinter" w:cs="Bankinter"/>
                <w:color w:val="000000" w:themeColor="text1"/>
                <w:sz w:val="20"/>
                <w:szCs w:val="20"/>
                <w:lang w:val="en-US"/>
              </w:rPr>
            </w:pPr>
            <w:r w:rsidRPr="00AA6970">
              <w:rPr>
                <w:rFonts w:ascii="Bankinter" w:hAnsi="Bankinter" w:cs="Bankinter"/>
                <w:color w:val="000000" w:themeColor="text1"/>
                <w:sz w:val="20"/>
                <w:szCs w:val="20"/>
                <w:lang w:val="en-US"/>
              </w:rPr>
              <w:t>(%)</w:t>
            </w:r>
          </w:p>
        </w:tc>
        <w:tc>
          <w:tcPr>
            <w:tcW w:w="1418" w:type="dxa"/>
          </w:tcPr>
          <w:p w:rsidR="008C5C65" w:rsidRPr="003E7DF5" w:rsidRDefault="009D60E6"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11,85</w:t>
            </w:r>
          </w:p>
        </w:tc>
        <w:tc>
          <w:tcPr>
            <w:tcW w:w="1701" w:type="dxa"/>
          </w:tcPr>
          <w:p w:rsidR="008C5C65" w:rsidRPr="003E7DF5" w:rsidRDefault="009D60E6"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12,27</w:t>
            </w:r>
          </w:p>
        </w:tc>
        <w:tc>
          <w:tcPr>
            <w:tcW w:w="1420" w:type="dxa"/>
          </w:tcPr>
          <w:p w:rsidR="008C5C65" w:rsidRPr="003E7DF5" w:rsidRDefault="009D60E6"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-0,42</w:t>
            </w:r>
            <w:r w:rsidR="008C5C65">
              <w:rPr>
                <w:rFonts w:ascii="Bankinter" w:hAnsi="Bankinter" w:cs="Bankinter"/>
                <w:color w:val="000000" w:themeColor="text1"/>
                <w:sz w:val="20"/>
                <w:szCs w:val="20"/>
              </w:rPr>
              <w:t xml:space="preserve"> p.p.</w:t>
            </w:r>
          </w:p>
        </w:tc>
        <w:tc>
          <w:tcPr>
            <w:tcW w:w="1729" w:type="dxa"/>
          </w:tcPr>
          <w:p w:rsidR="008C5C65" w:rsidRPr="003E7DF5" w:rsidRDefault="009D60E6" w:rsidP="004931C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Bankinter" w:hAnsi="Bankinter" w:cs="Bankinter"/>
                <w:color w:val="000000" w:themeColor="text1"/>
                <w:sz w:val="20"/>
                <w:szCs w:val="20"/>
              </w:rPr>
            </w:pPr>
            <w:r>
              <w:rPr>
                <w:rFonts w:ascii="Bankinter" w:hAnsi="Bankinter" w:cs="Bankinter"/>
                <w:color w:val="000000" w:themeColor="text1"/>
                <w:sz w:val="20"/>
                <w:szCs w:val="20"/>
              </w:rPr>
              <w:t>-3,43</w:t>
            </w:r>
          </w:p>
        </w:tc>
      </w:tr>
    </w:tbl>
    <w:p w:rsidR="008C5C65" w:rsidRDefault="008C5C65" w:rsidP="00C019CE">
      <w:pPr>
        <w:autoSpaceDE w:val="0"/>
        <w:autoSpaceDN w:val="0"/>
        <w:adjustRightInd w:val="0"/>
        <w:spacing w:after="0" w:line="240" w:lineRule="auto"/>
        <w:jc w:val="both"/>
        <w:rPr>
          <w:rFonts w:ascii="Bankinter" w:hAnsi="Bankinter" w:cs="Bankinter"/>
          <w:color w:val="000000" w:themeColor="text1"/>
          <w:sz w:val="20"/>
          <w:szCs w:val="20"/>
        </w:rPr>
      </w:pPr>
    </w:p>
    <w:p w:rsidR="00B81089" w:rsidRPr="00B81089" w:rsidRDefault="00B81089" w:rsidP="00B81089">
      <w:pPr>
        <w:autoSpaceDE w:val="0"/>
        <w:autoSpaceDN w:val="0"/>
        <w:adjustRightInd w:val="0"/>
        <w:spacing w:after="0" w:line="240" w:lineRule="auto"/>
        <w:jc w:val="both"/>
        <w:rPr>
          <w:rFonts w:ascii="Bankinter" w:hAnsi="Bankinter" w:cs="Bankinter"/>
          <w:color w:val="000000" w:themeColor="text1"/>
          <w:sz w:val="20"/>
          <w:szCs w:val="20"/>
        </w:rPr>
      </w:pPr>
      <w:r>
        <w:rPr>
          <w:rFonts w:ascii="Bankinter" w:hAnsi="Bankinter" w:cs="Bankinter"/>
          <w:color w:val="000000" w:themeColor="text1"/>
          <w:sz w:val="20"/>
          <w:szCs w:val="20"/>
        </w:rPr>
        <w:t>*</w:t>
      </w:r>
      <w:r w:rsidRPr="00B81089">
        <w:rPr>
          <w:rFonts w:ascii="Bankinter" w:hAnsi="Bankinter" w:cs="Bankinter"/>
          <w:color w:val="000000" w:themeColor="text1"/>
          <w:sz w:val="20"/>
          <w:szCs w:val="20"/>
        </w:rPr>
        <w:t>De</w:t>
      </w:r>
      <w:r>
        <w:rPr>
          <w:rFonts w:ascii="Bankinter" w:hAnsi="Bankinter" w:cs="Bankinter"/>
          <w:color w:val="000000" w:themeColor="text1"/>
          <w:sz w:val="20"/>
          <w:szCs w:val="20"/>
        </w:rPr>
        <w:t xml:space="preserve"> la actividad bancaria</w:t>
      </w:r>
      <w:r w:rsidR="00111CAC">
        <w:rPr>
          <w:rFonts w:ascii="Bankinter" w:hAnsi="Bankinter" w:cs="Bankinter"/>
          <w:color w:val="000000" w:themeColor="text1"/>
          <w:sz w:val="20"/>
          <w:szCs w:val="20"/>
        </w:rPr>
        <w:t xml:space="preserve"> con amor</w:t>
      </w:r>
      <w:r w:rsidR="00061782">
        <w:rPr>
          <w:rFonts w:ascii="Bankinter" w:hAnsi="Bankinter" w:cs="Bankinter"/>
          <w:color w:val="000000" w:themeColor="text1"/>
          <w:sz w:val="20"/>
          <w:szCs w:val="20"/>
        </w:rPr>
        <w:t>t</w:t>
      </w:r>
      <w:r w:rsidR="00111CAC">
        <w:rPr>
          <w:rFonts w:ascii="Bankinter" w:hAnsi="Bankinter" w:cs="Bankinter"/>
          <w:color w:val="000000" w:themeColor="text1"/>
          <w:sz w:val="20"/>
          <w:szCs w:val="20"/>
        </w:rPr>
        <w:t>izaciones</w:t>
      </w:r>
      <w:r>
        <w:rPr>
          <w:rFonts w:ascii="Bankinter" w:hAnsi="Bankinter" w:cs="Bankinter"/>
          <w:color w:val="000000" w:themeColor="text1"/>
          <w:sz w:val="20"/>
          <w:szCs w:val="20"/>
        </w:rPr>
        <w:t>.</w:t>
      </w:r>
      <w:r w:rsidRPr="00B81089">
        <w:rPr>
          <w:rFonts w:ascii="Bankinter" w:hAnsi="Bankinter" w:cs="Bankinter"/>
          <w:color w:val="000000" w:themeColor="text1"/>
          <w:sz w:val="20"/>
          <w:szCs w:val="20"/>
        </w:rPr>
        <w:t xml:space="preserve"> </w:t>
      </w:r>
    </w:p>
    <w:p w:rsidR="00B81089" w:rsidRDefault="00B81089" w:rsidP="00C019CE">
      <w:pPr>
        <w:autoSpaceDE w:val="0"/>
        <w:autoSpaceDN w:val="0"/>
        <w:adjustRightInd w:val="0"/>
        <w:spacing w:after="0" w:line="240" w:lineRule="auto"/>
        <w:jc w:val="both"/>
        <w:rPr>
          <w:rFonts w:ascii="Bankinter" w:hAnsi="Bankinter" w:cs="Bankinter"/>
          <w:color w:val="000000" w:themeColor="text1"/>
          <w:sz w:val="20"/>
          <w:szCs w:val="20"/>
        </w:rPr>
      </w:pPr>
    </w:p>
    <w:p w:rsidR="00542FCC" w:rsidRPr="00FC0256" w:rsidRDefault="00542FCC" w:rsidP="00175BC7">
      <w:pPr>
        <w:adjustRightInd w:val="0"/>
        <w:spacing w:after="0" w:line="240" w:lineRule="auto"/>
        <w:rPr>
          <w:rFonts w:ascii="Bankinter" w:hAnsi="Bankinter"/>
        </w:rPr>
      </w:pPr>
    </w:p>
    <w:sectPr w:rsidR="00542FCC" w:rsidRPr="00FC025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nkinter">
    <w:panose1 w:val="00000000000000000000"/>
    <w:charset w:val="00"/>
    <w:family w:val="auto"/>
    <w:pitch w:val="variable"/>
    <w:sig w:usb0="800000AF" w:usb1="1000204B"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ankinterText-Regular">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418C7"/>
    <w:multiLevelType w:val="hybridMultilevel"/>
    <w:tmpl w:val="83E2E4B6"/>
    <w:lvl w:ilvl="0" w:tplc="5C268630">
      <w:numFmt w:val="bullet"/>
      <w:lvlText w:val=""/>
      <w:lvlJc w:val="left"/>
      <w:pPr>
        <w:ind w:left="720" w:hanging="360"/>
      </w:pPr>
      <w:rPr>
        <w:rFonts w:ascii="Symbol" w:eastAsiaTheme="minorHAnsi" w:hAnsi="Symbol" w:cs="Bankinte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0F8"/>
    <w:rsid w:val="00016EAE"/>
    <w:rsid w:val="00061782"/>
    <w:rsid w:val="000C58D5"/>
    <w:rsid w:val="000D0D59"/>
    <w:rsid w:val="00105BA2"/>
    <w:rsid w:val="00111CAC"/>
    <w:rsid w:val="00115C7C"/>
    <w:rsid w:val="001409F5"/>
    <w:rsid w:val="00175BC7"/>
    <w:rsid w:val="001972F8"/>
    <w:rsid w:val="001B29B1"/>
    <w:rsid w:val="001C04A9"/>
    <w:rsid w:val="00271E0B"/>
    <w:rsid w:val="00283474"/>
    <w:rsid w:val="00297712"/>
    <w:rsid w:val="003002A2"/>
    <w:rsid w:val="00312F2F"/>
    <w:rsid w:val="00351B86"/>
    <w:rsid w:val="00371443"/>
    <w:rsid w:val="00372F22"/>
    <w:rsid w:val="00385E8C"/>
    <w:rsid w:val="003B4202"/>
    <w:rsid w:val="003F5B3D"/>
    <w:rsid w:val="00410330"/>
    <w:rsid w:val="00473CEA"/>
    <w:rsid w:val="004931C2"/>
    <w:rsid w:val="00500C29"/>
    <w:rsid w:val="0051036C"/>
    <w:rsid w:val="00514F31"/>
    <w:rsid w:val="00542FCC"/>
    <w:rsid w:val="005A0C04"/>
    <w:rsid w:val="006068DE"/>
    <w:rsid w:val="00641E7D"/>
    <w:rsid w:val="00662930"/>
    <w:rsid w:val="00686271"/>
    <w:rsid w:val="006B14FB"/>
    <w:rsid w:val="006B27D2"/>
    <w:rsid w:val="006C172D"/>
    <w:rsid w:val="00793FD7"/>
    <w:rsid w:val="007A2B25"/>
    <w:rsid w:val="007D557C"/>
    <w:rsid w:val="00850B90"/>
    <w:rsid w:val="00864BAC"/>
    <w:rsid w:val="008C5C65"/>
    <w:rsid w:val="008D6E08"/>
    <w:rsid w:val="008E23F5"/>
    <w:rsid w:val="00905799"/>
    <w:rsid w:val="00925687"/>
    <w:rsid w:val="009800B6"/>
    <w:rsid w:val="00997019"/>
    <w:rsid w:val="009D60E6"/>
    <w:rsid w:val="009F02DB"/>
    <w:rsid w:val="00A12670"/>
    <w:rsid w:val="00A21DBA"/>
    <w:rsid w:val="00A2495A"/>
    <w:rsid w:val="00A25347"/>
    <w:rsid w:val="00A32A9E"/>
    <w:rsid w:val="00A661A0"/>
    <w:rsid w:val="00A81BCD"/>
    <w:rsid w:val="00AA1AD1"/>
    <w:rsid w:val="00AD6958"/>
    <w:rsid w:val="00B25DC5"/>
    <w:rsid w:val="00B26B94"/>
    <w:rsid w:val="00B72B99"/>
    <w:rsid w:val="00B81089"/>
    <w:rsid w:val="00B9252B"/>
    <w:rsid w:val="00BF0BB7"/>
    <w:rsid w:val="00C007A2"/>
    <w:rsid w:val="00C019CE"/>
    <w:rsid w:val="00C15F9B"/>
    <w:rsid w:val="00C4670A"/>
    <w:rsid w:val="00C64C3C"/>
    <w:rsid w:val="00C76F3A"/>
    <w:rsid w:val="00CF1F03"/>
    <w:rsid w:val="00CF70AE"/>
    <w:rsid w:val="00D202F9"/>
    <w:rsid w:val="00D510DB"/>
    <w:rsid w:val="00DE0CEA"/>
    <w:rsid w:val="00DF79A7"/>
    <w:rsid w:val="00E1590C"/>
    <w:rsid w:val="00E348DA"/>
    <w:rsid w:val="00EB6BCC"/>
    <w:rsid w:val="00ED6A75"/>
    <w:rsid w:val="00EF17BB"/>
    <w:rsid w:val="00F210F8"/>
    <w:rsid w:val="00F3131A"/>
    <w:rsid w:val="00F35ED8"/>
    <w:rsid w:val="00FB5EB1"/>
    <w:rsid w:val="00FC0256"/>
    <w:rsid w:val="00FF05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0F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210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210F8"/>
    <w:rPr>
      <w:rFonts w:ascii="Tahoma" w:hAnsi="Tahoma" w:cs="Tahoma"/>
      <w:sz w:val="16"/>
      <w:szCs w:val="16"/>
    </w:rPr>
  </w:style>
  <w:style w:type="table" w:styleId="Listaclara-nfasis2">
    <w:name w:val="Light List Accent 2"/>
    <w:aliases w:val="Bankinter Naranja"/>
    <w:basedOn w:val="Tablanormal"/>
    <w:uiPriority w:val="61"/>
    <w:rsid w:val="00542FCC"/>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Hipervnculo">
    <w:name w:val="Hyperlink"/>
    <w:basedOn w:val="Fuentedeprrafopredeter"/>
    <w:uiPriority w:val="99"/>
    <w:unhideWhenUsed/>
    <w:rsid w:val="00542FCC"/>
    <w:rPr>
      <w:color w:val="0000FF" w:themeColor="hyperlink"/>
      <w:u w:val="single"/>
    </w:rPr>
  </w:style>
  <w:style w:type="paragraph" w:styleId="Textocomentario">
    <w:name w:val="annotation text"/>
    <w:basedOn w:val="Normal"/>
    <w:link w:val="TextocomentarioCar"/>
    <w:uiPriority w:val="99"/>
    <w:unhideWhenUsed/>
    <w:rsid w:val="007A2B25"/>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7A2B25"/>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B810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0F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210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210F8"/>
    <w:rPr>
      <w:rFonts w:ascii="Tahoma" w:hAnsi="Tahoma" w:cs="Tahoma"/>
      <w:sz w:val="16"/>
      <w:szCs w:val="16"/>
    </w:rPr>
  </w:style>
  <w:style w:type="table" w:styleId="Listaclara-nfasis2">
    <w:name w:val="Light List Accent 2"/>
    <w:aliases w:val="Bankinter Naranja"/>
    <w:basedOn w:val="Tablanormal"/>
    <w:uiPriority w:val="61"/>
    <w:rsid w:val="00542FCC"/>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Hipervnculo">
    <w:name w:val="Hyperlink"/>
    <w:basedOn w:val="Fuentedeprrafopredeter"/>
    <w:uiPriority w:val="99"/>
    <w:unhideWhenUsed/>
    <w:rsid w:val="00542FCC"/>
    <w:rPr>
      <w:color w:val="0000FF" w:themeColor="hyperlink"/>
      <w:u w:val="single"/>
    </w:rPr>
  </w:style>
  <w:style w:type="paragraph" w:styleId="Textocomentario">
    <w:name w:val="annotation text"/>
    <w:basedOn w:val="Normal"/>
    <w:link w:val="TextocomentarioCar"/>
    <w:uiPriority w:val="99"/>
    <w:unhideWhenUsed/>
    <w:rsid w:val="007A2B25"/>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7A2B25"/>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B810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F6B99-DA38-43B0-A26C-8435CEA3C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1249</Words>
  <Characters>6875</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Bankinter</Company>
  <LinksUpToDate>false</LinksUpToDate>
  <CharactersWithSpaces>8108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Bankinter</dc:creator>
  <cp:lastModifiedBy>Ana Ramirez Cogollor</cp:lastModifiedBy>
  <cp:revision>2</cp:revision>
  <cp:lastPrinted>2015-07-23T06:09:00Z</cp:lastPrinted>
  <dcterms:created xsi:type="dcterms:W3CDTF">2015-10-22T05:59:00Z</dcterms:created>
  <dcterms:modified xsi:type="dcterms:W3CDTF">2015-10-22T05:59:00Z</dcterms:modified>
</cp:coreProperties>
</file>