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9E2" w:rsidRDefault="00CA39E2" w:rsidP="00CA39E2">
      <w:pPr>
        <w:autoSpaceDE w:val="0"/>
        <w:autoSpaceDN w:val="0"/>
        <w:spacing w:after="0" w:line="240" w:lineRule="auto"/>
        <w:rPr>
          <w:rFonts w:ascii="Bankinter" w:hAnsi="Bankinter"/>
          <w:color w:val="000000"/>
          <w:sz w:val="16"/>
          <w:szCs w:val="16"/>
        </w:rPr>
      </w:pPr>
    </w:p>
    <w:p w:rsidR="00C273AD" w:rsidRPr="008A5DBF" w:rsidRDefault="00C273AD" w:rsidP="00C273AD">
      <w:pPr>
        <w:pStyle w:val="Textocomentario"/>
        <w:jc w:val="both"/>
        <w:rPr>
          <w:rFonts w:ascii="Bankinter" w:hAnsi="Bankinter" w:cs="Bankinter"/>
          <w:color w:val="000000" w:themeColor="text1"/>
          <w:lang w:val="es-ES_tradnl"/>
        </w:rPr>
      </w:pPr>
      <w:bookmarkStart w:id="0" w:name="_GoBack"/>
      <w:bookmarkEnd w:id="0"/>
      <w:r w:rsidRPr="008A5DBF">
        <w:rPr>
          <w:rFonts w:asciiTheme="minorHAnsi" w:hAnsiTheme="minorHAnsi"/>
          <w:color w:val="000000" w:themeColor="text1"/>
        </w:rPr>
        <w:t xml:space="preserve">El Grupo Bankinter comienza el ejercicio 2017 manteniendo la fortaleza de su negocio y la tendencia de crecimiento rentable manifestada en los pasados ejercicios. </w:t>
      </w:r>
      <w:r w:rsidRPr="008A5DBF">
        <w:rPr>
          <w:rFonts w:asciiTheme="minorHAnsi" w:hAnsiTheme="minorHAnsi" w:cs="Bankinter"/>
          <w:color w:val="000000" w:themeColor="text1"/>
        </w:rPr>
        <w:t xml:space="preserve">Así, el beneficio neto del Grupo se sitúa al cierre del primer trimestre en </w:t>
      </w:r>
      <w:r w:rsidRPr="008A5DBF">
        <w:rPr>
          <w:rFonts w:ascii="Bankinter" w:hAnsi="Bankinter" w:cs="Bankinter"/>
          <w:color w:val="000000" w:themeColor="text1"/>
        </w:rPr>
        <w:t xml:space="preserve">124,4  millones de euros, y el beneficio antes de impuestos en 171,6 millones, lo </w:t>
      </w:r>
      <w:r w:rsidRPr="008A5DBF">
        <w:rPr>
          <w:rFonts w:ascii="Bankinter" w:hAnsi="Bankinter" w:cs="Bankinter"/>
          <w:color w:val="000000" w:themeColor="text1"/>
          <w:lang w:val="es-ES_tradnl"/>
        </w:rPr>
        <w:t xml:space="preserve">que supone un crecimiento del 18,7%, y  del 16,3%, respectivamente. </w:t>
      </w:r>
    </w:p>
    <w:p w:rsidR="00594028" w:rsidRPr="008A5DBF" w:rsidRDefault="00594028" w:rsidP="00594028">
      <w:pPr>
        <w:pStyle w:val="Textocomentario"/>
        <w:jc w:val="both"/>
        <w:rPr>
          <w:rFonts w:asciiTheme="minorHAnsi" w:hAnsiTheme="minorHAnsi" w:cs="Bankinter"/>
          <w:color w:val="000000" w:themeColor="text1"/>
          <w:lang w:val="es-ES_tradnl"/>
        </w:rPr>
      </w:pPr>
    </w:p>
    <w:p w:rsidR="00C273AD" w:rsidRPr="008A5DBF" w:rsidRDefault="00C273AD" w:rsidP="00C273AD">
      <w:pPr>
        <w:pStyle w:val="Textocomentario"/>
        <w:jc w:val="both"/>
        <w:rPr>
          <w:rFonts w:asciiTheme="minorHAnsi" w:hAnsiTheme="minorHAnsi"/>
          <w:color w:val="000000" w:themeColor="text1"/>
        </w:rPr>
      </w:pPr>
      <w:r w:rsidRPr="008A5DBF">
        <w:rPr>
          <w:rFonts w:ascii="Bankinter" w:hAnsi="Bankinter" w:cs="Bankinter"/>
          <w:color w:val="000000" w:themeColor="text1"/>
          <w:lang w:val="es-ES_tradnl"/>
        </w:rPr>
        <w:t xml:space="preserve">Estos resultados incluyen </w:t>
      </w:r>
      <w:r w:rsidRPr="008A5DBF">
        <w:rPr>
          <w:rFonts w:asciiTheme="minorHAnsi" w:hAnsiTheme="minorHAnsi"/>
          <w:color w:val="000000" w:themeColor="text1"/>
        </w:rPr>
        <w:t>los datos de actividad de Bankinter en Portugal, los cuales no figuraban en el primer trimestre del año pasado dado que fue el 1 de abril de 2016 cuando se hizo efectiva la operación de traspaso de todo el negocio adquirido a Barclays en ese país. De ese modo, y a</w:t>
      </w:r>
      <w:r w:rsidRPr="008A5DBF">
        <w:rPr>
          <w:rFonts w:ascii="Bankinter" w:hAnsi="Bankinter" w:cs="Bankinter"/>
          <w:color w:val="000000" w:themeColor="text1"/>
          <w:lang w:val="es-ES_tradnl"/>
        </w:rPr>
        <w:t xml:space="preserve"> </w:t>
      </w:r>
      <w:r w:rsidRPr="008A5DBF">
        <w:rPr>
          <w:rFonts w:asciiTheme="minorHAnsi" w:hAnsiTheme="minorHAnsi" w:cs="Bankinter"/>
          <w:color w:val="000000" w:themeColor="text1"/>
          <w:lang w:val="es-ES_tradnl"/>
        </w:rPr>
        <w:t>efectos de hacerlo más comparable</w:t>
      </w:r>
      <w:r w:rsidRPr="008A5DBF">
        <w:rPr>
          <w:rFonts w:asciiTheme="minorHAnsi" w:hAnsiTheme="minorHAnsi" w:cs="Bankinter"/>
          <w:color w:val="000000" w:themeColor="text1"/>
        </w:rPr>
        <w:t>, el</w:t>
      </w:r>
      <w:r w:rsidRPr="008A5DBF">
        <w:rPr>
          <w:rFonts w:asciiTheme="minorHAnsi" w:hAnsiTheme="minorHAnsi" w:cs="Bankinter"/>
          <w:color w:val="000000" w:themeColor="text1"/>
          <w:lang w:val="es-ES_tradnl"/>
        </w:rPr>
        <w:t xml:space="preserve"> beneficio neto trimestral de Bankinter sin tener en cuenta Portugal sería de 120,6 millones de euros, un 15,1% superior al del primer trimestre de 2016; y el beneficio antes de impuestos: 167,9 millones, un 13,8% más.</w:t>
      </w:r>
    </w:p>
    <w:p w:rsidR="009C6386" w:rsidRPr="008A5DBF" w:rsidRDefault="009C6386" w:rsidP="009C6386">
      <w:pPr>
        <w:pStyle w:val="Textocomentario"/>
        <w:jc w:val="both"/>
        <w:rPr>
          <w:rFonts w:asciiTheme="minorHAnsi" w:hAnsiTheme="minorHAnsi"/>
          <w:color w:val="000000" w:themeColor="text1"/>
        </w:rPr>
      </w:pPr>
    </w:p>
    <w:p w:rsidR="00C273AD" w:rsidRPr="008A5DBF" w:rsidRDefault="00C273AD" w:rsidP="00C273AD">
      <w:pPr>
        <w:pStyle w:val="Textocomentario"/>
        <w:jc w:val="both"/>
        <w:rPr>
          <w:rFonts w:ascii="Bankinter" w:hAnsi="Bankinter" w:cs="Bankinter"/>
          <w:bCs/>
          <w:color w:val="000000" w:themeColor="text1"/>
        </w:rPr>
      </w:pPr>
      <w:r w:rsidRPr="008A5DBF">
        <w:rPr>
          <w:rFonts w:ascii="Bankinter" w:hAnsi="Bankinter" w:cs="Bankinter"/>
          <w:color w:val="000000" w:themeColor="text1"/>
        </w:rPr>
        <w:t xml:space="preserve">Bankinter mantiene su posición como entidad más rentable entre los bancos cotizados, y sitúa la rentabilidad sobre el capital invertido, ROE, en el </w:t>
      </w:r>
      <w:r w:rsidRPr="008A5DBF">
        <w:rPr>
          <w:rFonts w:ascii="Bankinter" w:hAnsi="Bankinter" w:cs="Bankinter"/>
          <w:bCs/>
          <w:color w:val="000000" w:themeColor="text1"/>
        </w:rPr>
        <w:t>12%.</w:t>
      </w:r>
    </w:p>
    <w:p w:rsidR="00C273AD" w:rsidRPr="008A5DBF" w:rsidRDefault="00C273AD" w:rsidP="00C273AD">
      <w:pPr>
        <w:pStyle w:val="Textocomentario"/>
        <w:jc w:val="both"/>
        <w:rPr>
          <w:rFonts w:ascii="Bankinter" w:hAnsi="Bankinter" w:cs="Bankinter"/>
          <w:bCs/>
          <w:color w:val="000000" w:themeColor="text1"/>
        </w:rPr>
      </w:pPr>
    </w:p>
    <w:p w:rsidR="00C273AD" w:rsidRPr="008A5DBF" w:rsidRDefault="00C273AD" w:rsidP="00C273AD">
      <w:pPr>
        <w:pStyle w:val="Textocomentario"/>
        <w:jc w:val="both"/>
        <w:rPr>
          <w:rFonts w:asciiTheme="minorHAnsi" w:hAnsiTheme="minorHAnsi" w:cs="Bankinter"/>
          <w:color w:val="000000" w:themeColor="text1"/>
        </w:rPr>
      </w:pPr>
      <w:r w:rsidRPr="008A5DBF">
        <w:rPr>
          <w:rFonts w:ascii="Bankinter" w:hAnsi="Bankinter" w:cs="Bankinter"/>
          <w:color w:val="000000" w:themeColor="text1"/>
        </w:rPr>
        <w:t xml:space="preserve">De igual forma, Bankinter continúa en puestos de privilegio en cuanto a su calidad de activos, con un índice de morosidad que cae hasta el 3,88% desde el 3,95% de hace un año, </w:t>
      </w:r>
      <w:r w:rsidRPr="008A5DBF">
        <w:rPr>
          <w:rFonts w:asciiTheme="minorHAnsi" w:hAnsiTheme="minorHAnsi" w:cs="Bankinter"/>
          <w:color w:val="000000" w:themeColor="text1"/>
        </w:rPr>
        <w:t xml:space="preserve">y ello pese a asumir las cifras de mora del negocio portugués. Excluyendo estas cifras, la mora se sitúa en un </w:t>
      </w:r>
      <w:r w:rsidRPr="008A5DBF">
        <w:rPr>
          <w:rFonts w:asciiTheme="minorHAnsi" w:hAnsiTheme="minorHAnsi" w:cs="Bankinter"/>
          <w:bCs/>
          <w:color w:val="000000" w:themeColor="text1"/>
        </w:rPr>
        <w:t xml:space="preserve">3,47%, una ratio que es menos de la mitad que </w:t>
      </w:r>
      <w:r w:rsidRPr="008A5DBF">
        <w:rPr>
          <w:rFonts w:asciiTheme="minorHAnsi" w:hAnsiTheme="minorHAnsi" w:cs="Bankinter"/>
          <w:color w:val="000000" w:themeColor="text1"/>
        </w:rPr>
        <w:t>la media del sector.</w:t>
      </w:r>
    </w:p>
    <w:p w:rsidR="00C273AD" w:rsidRPr="008A5DBF" w:rsidRDefault="00C273AD" w:rsidP="00C273AD">
      <w:pPr>
        <w:pStyle w:val="Textocomentario"/>
        <w:jc w:val="both"/>
        <w:rPr>
          <w:rFonts w:asciiTheme="minorHAnsi" w:hAnsiTheme="minorHAnsi" w:cs="Bankinter"/>
          <w:color w:val="000000" w:themeColor="text1"/>
        </w:rPr>
      </w:pPr>
    </w:p>
    <w:p w:rsidR="00C273AD" w:rsidRPr="008A5DBF" w:rsidRDefault="00C273AD" w:rsidP="00C273AD">
      <w:pPr>
        <w:pStyle w:val="Textocomentario"/>
        <w:jc w:val="both"/>
        <w:rPr>
          <w:rFonts w:asciiTheme="minorHAnsi" w:hAnsiTheme="minorHAnsi" w:cs="Bankinter"/>
          <w:color w:val="000000" w:themeColor="text1"/>
        </w:rPr>
      </w:pPr>
      <w:r w:rsidRPr="008A5DBF">
        <w:rPr>
          <w:rFonts w:asciiTheme="minorHAnsi" w:hAnsiTheme="minorHAnsi" w:cs="Bankinter"/>
          <w:color w:val="000000" w:themeColor="text1"/>
        </w:rPr>
        <w:t xml:space="preserve">En cuanto a la solvencia, Bankinter cierra el trimestre con una ratio de capital CET1 </w:t>
      </w:r>
      <w:proofErr w:type="spellStart"/>
      <w:r w:rsidRPr="008A5DBF">
        <w:rPr>
          <w:rFonts w:asciiTheme="minorHAnsi" w:hAnsiTheme="minorHAnsi" w:cs="Bankinter"/>
          <w:color w:val="000000" w:themeColor="text1"/>
        </w:rPr>
        <w:t>fully</w:t>
      </w:r>
      <w:proofErr w:type="spellEnd"/>
      <w:r w:rsidRPr="008A5DBF">
        <w:rPr>
          <w:rFonts w:asciiTheme="minorHAnsi" w:hAnsiTheme="minorHAnsi" w:cs="Bankinter"/>
          <w:color w:val="000000" w:themeColor="text1"/>
        </w:rPr>
        <w:t xml:space="preserve"> </w:t>
      </w:r>
      <w:proofErr w:type="spellStart"/>
      <w:r w:rsidRPr="008A5DBF">
        <w:rPr>
          <w:rFonts w:asciiTheme="minorHAnsi" w:hAnsiTheme="minorHAnsi" w:cs="Bankinter"/>
          <w:color w:val="000000" w:themeColor="text1"/>
        </w:rPr>
        <w:t>loaded</w:t>
      </w:r>
      <w:proofErr w:type="spellEnd"/>
      <w:r w:rsidRPr="008A5DBF">
        <w:rPr>
          <w:rFonts w:asciiTheme="minorHAnsi" w:hAnsiTheme="minorHAnsi" w:cs="Bankinter"/>
          <w:color w:val="000000" w:themeColor="text1"/>
        </w:rPr>
        <w:t xml:space="preserve"> del 11,3%, y del 11,6% en el CET 1 </w:t>
      </w:r>
      <w:proofErr w:type="spellStart"/>
      <w:r w:rsidRPr="008A5DBF">
        <w:rPr>
          <w:rFonts w:asciiTheme="minorHAnsi" w:hAnsiTheme="minorHAnsi" w:cs="Bankinter"/>
          <w:i/>
          <w:color w:val="000000" w:themeColor="text1"/>
        </w:rPr>
        <w:t>phase</w:t>
      </w:r>
      <w:proofErr w:type="spellEnd"/>
      <w:r w:rsidRPr="008A5DBF">
        <w:rPr>
          <w:rFonts w:asciiTheme="minorHAnsi" w:hAnsiTheme="minorHAnsi" w:cs="Bankinter"/>
          <w:i/>
          <w:color w:val="000000" w:themeColor="text1"/>
        </w:rPr>
        <w:t xml:space="preserve"> in</w:t>
      </w:r>
      <w:r w:rsidRPr="008A5DBF">
        <w:rPr>
          <w:rFonts w:asciiTheme="minorHAnsi" w:hAnsiTheme="minorHAnsi" w:cs="Bankinter"/>
          <w:color w:val="000000" w:themeColor="text1"/>
        </w:rPr>
        <w:t>, muy por encima de las exigencias del BCE aplicables en 2017 para Bankinter, que son del 6,5%, las menores de la banca española.</w:t>
      </w:r>
    </w:p>
    <w:p w:rsidR="00C273AD" w:rsidRPr="008A5DBF" w:rsidRDefault="00C273AD" w:rsidP="00C273AD">
      <w:pPr>
        <w:pStyle w:val="Textocomentario"/>
        <w:jc w:val="both"/>
        <w:rPr>
          <w:rFonts w:asciiTheme="minorHAnsi" w:hAnsiTheme="minorHAnsi" w:cs="Bankinter"/>
          <w:color w:val="000000" w:themeColor="text1"/>
        </w:rPr>
      </w:pPr>
    </w:p>
    <w:p w:rsidR="00C273AD" w:rsidRPr="008A5DBF" w:rsidRDefault="00C273AD" w:rsidP="00C273AD">
      <w:pPr>
        <w:pStyle w:val="Textocomentario"/>
        <w:jc w:val="both"/>
        <w:rPr>
          <w:rFonts w:asciiTheme="minorHAnsi" w:hAnsiTheme="minorHAnsi" w:cs="Bankinter"/>
          <w:color w:val="000000" w:themeColor="text1"/>
        </w:rPr>
      </w:pPr>
      <w:r w:rsidRPr="008A5DBF">
        <w:rPr>
          <w:rFonts w:asciiTheme="minorHAnsi" w:eastAsiaTheme="minorHAnsi" w:hAnsiTheme="minorHAnsi" w:cs="Bankinter"/>
          <w:color w:val="000000" w:themeColor="text1"/>
          <w:lang w:val="es-ES_tradnl" w:eastAsia="en-US"/>
        </w:rPr>
        <w:t xml:space="preserve">Paralelamente, el banco sigue fortaleciendo su estructura de financiación, con una ratio de depósitos sobre créditos que alcanza ya el 92,4%, cuando hace un año se </w:t>
      </w:r>
      <w:r w:rsidRPr="008A5DBF">
        <w:rPr>
          <w:rFonts w:asciiTheme="minorHAnsi" w:eastAsiaTheme="minorHAnsi" w:hAnsiTheme="minorHAnsi" w:cs="Bankinter"/>
          <w:color w:val="000000" w:themeColor="text1"/>
          <w:lang w:val="es-ES_tradnl" w:eastAsia="en-US"/>
        </w:rPr>
        <w:lastRenderedPageBreak/>
        <w:t xml:space="preserve">situaba en el 87,2%; </w:t>
      </w:r>
      <w:r w:rsidRPr="008A5DBF">
        <w:rPr>
          <w:rFonts w:asciiTheme="minorHAnsi" w:hAnsiTheme="minorHAnsi" w:cs="Bankinter"/>
          <w:color w:val="000000" w:themeColor="text1"/>
        </w:rPr>
        <w:t>y con un gap de liquidez de 4.100 millones de euros, que supone una reducción de 1.300 millones sobre la misma cifra al cierre de 2016.</w:t>
      </w:r>
    </w:p>
    <w:p w:rsidR="00C273AD" w:rsidRPr="008A5DBF" w:rsidRDefault="00C273AD" w:rsidP="00C273AD">
      <w:pPr>
        <w:pStyle w:val="Textocomentario"/>
        <w:jc w:val="both"/>
        <w:rPr>
          <w:rFonts w:asciiTheme="minorHAnsi" w:hAnsiTheme="minorHAnsi" w:cs="Bankinter"/>
          <w:color w:val="000000" w:themeColor="text1"/>
        </w:rPr>
      </w:pPr>
    </w:p>
    <w:p w:rsidR="00C273AD" w:rsidRPr="008A5DBF" w:rsidRDefault="00C273AD" w:rsidP="00C273AD">
      <w:pPr>
        <w:pStyle w:val="Textocomentario"/>
        <w:jc w:val="both"/>
        <w:rPr>
          <w:rFonts w:asciiTheme="minorHAnsi" w:hAnsiTheme="minorHAnsi" w:cs="Bankinter"/>
          <w:color w:val="000000" w:themeColor="text1"/>
        </w:rPr>
      </w:pPr>
      <w:r w:rsidRPr="008A5DBF">
        <w:rPr>
          <w:rFonts w:asciiTheme="minorHAnsi" w:hAnsiTheme="minorHAnsi" w:cs="Bankinter"/>
          <w:color w:val="000000" w:themeColor="text1"/>
        </w:rPr>
        <w:t xml:space="preserve">Asimismo, Bankinter no cuenta con vencimientos </w:t>
      </w:r>
      <w:r w:rsidRPr="008A5DBF">
        <w:rPr>
          <w:rFonts w:asciiTheme="minorHAnsi" w:eastAsiaTheme="minorHAnsi" w:hAnsiTheme="minorHAnsi" w:cs="Bankinter"/>
          <w:color w:val="000000" w:themeColor="text1"/>
          <w:lang w:val="es-ES_tradnl" w:eastAsia="en-US"/>
        </w:rPr>
        <w:t xml:space="preserve">de </w:t>
      </w:r>
      <w:r w:rsidRPr="008A5DBF">
        <w:rPr>
          <w:rFonts w:asciiTheme="minorHAnsi" w:eastAsiaTheme="minorHAnsi" w:hAnsiTheme="minorHAnsi" w:cs="Bankinter"/>
          <w:color w:val="000000" w:themeColor="text1"/>
          <w:lang w:eastAsia="en-US"/>
        </w:rPr>
        <w:t xml:space="preserve">emisiones mayoristas en lo que resta de año, y las que quedan pendientes hasta 2020 - con unos diferenciales que se han visto reducidos notablemente- suman 2.200 millones de euros. Para </w:t>
      </w:r>
      <w:r w:rsidRPr="008A5DBF">
        <w:rPr>
          <w:rFonts w:asciiTheme="minorHAnsi" w:eastAsiaTheme="minorHAnsi" w:hAnsiTheme="minorHAnsi" w:cs="Bankinter"/>
          <w:color w:val="000000" w:themeColor="text1"/>
          <w:lang w:val="es-ES_tradnl" w:eastAsia="en-US"/>
        </w:rPr>
        <w:t>afrontar estos vencimientos el banco dispone de 10.400 millones</w:t>
      </w:r>
      <w:r w:rsidRPr="008A5DBF">
        <w:rPr>
          <w:rFonts w:asciiTheme="minorHAnsi" w:eastAsiaTheme="minorHAnsi" w:hAnsiTheme="minorHAnsi" w:cs="Bankinter"/>
          <w:color w:val="000000" w:themeColor="text1"/>
          <w:lang w:eastAsia="en-US"/>
        </w:rPr>
        <w:t xml:space="preserve">  en </w:t>
      </w:r>
      <w:r w:rsidRPr="008A5DBF">
        <w:rPr>
          <w:rFonts w:asciiTheme="minorHAnsi" w:eastAsiaTheme="minorHAnsi" w:hAnsiTheme="minorHAnsi" w:cs="Bankinter"/>
          <w:color w:val="000000" w:themeColor="text1"/>
          <w:lang w:val="es-ES_tradnl" w:eastAsia="en-US"/>
        </w:rPr>
        <w:t xml:space="preserve">activos líquidos </w:t>
      </w:r>
      <w:r w:rsidRPr="008A5DBF">
        <w:rPr>
          <w:rFonts w:asciiTheme="minorHAnsi" w:eastAsiaTheme="minorHAnsi" w:hAnsiTheme="minorHAnsi" w:cs="Bankinter"/>
          <w:color w:val="000000" w:themeColor="text1"/>
          <w:lang w:eastAsia="en-US"/>
        </w:rPr>
        <w:t>y una capacidad de emisión de cédulas por valor de 8.500 millones.</w:t>
      </w:r>
    </w:p>
    <w:p w:rsidR="00430C42" w:rsidRPr="008A5DBF" w:rsidRDefault="00430C42" w:rsidP="00430C42">
      <w:pPr>
        <w:autoSpaceDE w:val="0"/>
        <w:autoSpaceDN w:val="0"/>
        <w:adjustRightInd w:val="0"/>
        <w:spacing w:after="0" w:line="240" w:lineRule="auto"/>
        <w:jc w:val="both"/>
        <w:rPr>
          <w:rFonts w:cs="Bankinter"/>
          <w:color w:val="000000" w:themeColor="text1"/>
          <w:sz w:val="20"/>
          <w:szCs w:val="20"/>
        </w:rPr>
      </w:pPr>
    </w:p>
    <w:p w:rsidR="00C273AD" w:rsidRPr="008A5DBF" w:rsidRDefault="00493AD6" w:rsidP="00C273AD">
      <w:pPr>
        <w:spacing w:after="0" w:line="240" w:lineRule="auto"/>
        <w:jc w:val="both"/>
        <w:rPr>
          <w:rFonts w:ascii="Bankinter" w:hAnsi="Bankinter" w:cs="Bankinter"/>
          <w:b/>
          <w:color w:val="000000" w:themeColor="text1"/>
          <w:sz w:val="20"/>
          <w:szCs w:val="20"/>
          <w:u w:val="single"/>
        </w:rPr>
      </w:pPr>
      <w:r w:rsidRPr="008A5DBF">
        <w:rPr>
          <w:rFonts w:ascii="Bankinter" w:hAnsi="Bankinter" w:cs="Bankinter"/>
          <w:b/>
          <w:color w:val="000000" w:themeColor="text1"/>
          <w:sz w:val="20"/>
          <w:szCs w:val="20"/>
          <w:u w:val="single"/>
        </w:rPr>
        <w:t>Fuerte c</w:t>
      </w:r>
      <w:r w:rsidR="00594028" w:rsidRPr="008A5DBF">
        <w:rPr>
          <w:rFonts w:ascii="Bankinter" w:hAnsi="Bankinter" w:cs="Bankinter"/>
          <w:b/>
          <w:color w:val="000000" w:themeColor="text1"/>
          <w:sz w:val="20"/>
          <w:szCs w:val="20"/>
          <w:u w:val="single"/>
        </w:rPr>
        <w:t xml:space="preserve">recimiento </w:t>
      </w:r>
      <w:r w:rsidR="006E1ABD" w:rsidRPr="008A5DBF">
        <w:rPr>
          <w:rFonts w:ascii="Bankinter" w:hAnsi="Bankinter" w:cs="Bankinter"/>
          <w:b/>
          <w:color w:val="000000" w:themeColor="text1"/>
          <w:sz w:val="20"/>
          <w:szCs w:val="20"/>
          <w:u w:val="single"/>
        </w:rPr>
        <w:t xml:space="preserve">en </w:t>
      </w:r>
      <w:r w:rsidRPr="008A5DBF">
        <w:rPr>
          <w:rFonts w:ascii="Bankinter" w:hAnsi="Bankinter" w:cs="Bankinter"/>
          <w:b/>
          <w:color w:val="000000" w:themeColor="text1"/>
          <w:sz w:val="20"/>
          <w:szCs w:val="20"/>
          <w:u w:val="single"/>
        </w:rPr>
        <w:t xml:space="preserve">todos </w:t>
      </w:r>
      <w:r w:rsidR="006E1ABD" w:rsidRPr="008A5DBF">
        <w:rPr>
          <w:rFonts w:ascii="Bankinter" w:hAnsi="Bankinter" w:cs="Bankinter"/>
          <w:b/>
          <w:color w:val="000000" w:themeColor="text1"/>
          <w:sz w:val="20"/>
          <w:szCs w:val="20"/>
          <w:u w:val="single"/>
        </w:rPr>
        <w:t>los</w:t>
      </w:r>
      <w:r w:rsidR="00430C42" w:rsidRPr="008A5DBF">
        <w:rPr>
          <w:rFonts w:ascii="Bankinter" w:hAnsi="Bankinter" w:cs="Bankinter"/>
          <w:b/>
          <w:color w:val="000000" w:themeColor="text1"/>
          <w:sz w:val="20"/>
          <w:szCs w:val="20"/>
          <w:u w:val="single"/>
        </w:rPr>
        <w:t xml:space="preserve"> márgenes. </w:t>
      </w:r>
    </w:p>
    <w:p w:rsidR="00C273AD" w:rsidRPr="008A5DBF" w:rsidRDefault="00C273AD" w:rsidP="00C273AD">
      <w:pPr>
        <w:spacing w:after="0" w:line="240" w:lineRule="auto"/>
        <w:jc w:val="both"/>
        <w:rPr>
          <w:rFonts w:ascii="Bankinter" w:hAnsi="Bankinter" w:cs="Bankinter"/>
          <w:b/>
          <w:color w:val="000000" w:themeColor="text1"/>
          <w:sz w:val="20"/>
          <w:szCs w:val="20"/>
          <w:u w:val="single"/>
        </w:rPr>
      </w:pPr>
    </w:p>
    <w:p w:rsidR="00C273AD" w:rsidRPr="008A5DBF" w:rsidRDefault="00C273AD" w:rsidP="00C273AD">
      <w:pPr>
        <w:spacing w:after="0" w:line="240" w:lineRule="auto"/>
        <w:jc w:val="both"/>
        <w:rPr>
          <w:rFonts w:cs="Bankinter"/>
          <w:color w:val="000000" w:themeColor="text1"/>
          <w:sz w:val="20"/>
          <w:szCs w:val="20"/>
        </w:rPr>
      </w:pPr>
      <w:r w:rsidRPr="008A5DBF">
        <w:rPr>
          <w:rFonts w:cs="Bankinter"/>
          <w:color w:val="000000" w:themeColor="text1"/>
          <w:sz w:val="20"/>
          <w:szCs w:val="20"/>
        </w:rPr>
        <w:t>Los resultados presentados por el Grupo Bankinter siguen mostrando, pese al entorno, fortaleza en los márgenes, tanto incluyendo como excluyendo de la comparación los datos del negocio de Portugal.</w:t>
      </w:r>
    </w:p>
    <w:p w:rsidR="00C273AD" w:rsidRPr="008A5DBF" w:rsidRDefault="00C273AD" w:rsidP="00C273AD">
      <w:pPr>
        <w:spacing w:after="0" w:line="240" w:lineRule="auto"/>
        <w:jc w:val="both"/>
        <w:rPr>
          <w:rFonts w:cs="Bankinter"/>
          <w:color w:val="000000" w:themeColor="text1"/>
          <w:sz w:val="20"/>
          <w:szCs w:val="20"/>
        </w:rPr>
      </w:pPr>
    </w:p>
    <w:p w:rsidR="00C273AD" w:rsidRPr="008A5DBF" w:rsidRDefault="00C273AD" w:rsidP="00C273AD">
      <w:pPr>
        <w:spacing w:after="0" w:line="240" w:lineRule="auto"/>
        <w:jc w:val="both"/>
        <w:rPr>
          <w:rFonts w:cs="Bankinter"/>
          <w:color w:val="000000" w:themeColor="text1"/>
          <w:sz w:val="20"/>
          <w:szCs w:val="20"/>
        </w:rPr>
      </w:pPr>
      <w:r w:rsidRPr="008A5DBF">
        <w:rPr>
          <w:rFonts w:cs="Bankinter"/>
          <w:color w:val="000000" w:themeColor="text1"/>
          <w:sz w:val="20"/>
          <w:szCs w:val="20"/>
        </w:rPr>
        <w:t xml:space="preserve">Así, el margen de intereses de Bankinter alcanza al cierre del trimestre los 257,7 millones de euros, o lo que es igual: un 17,1% más que hace un año, y que, sin tener en cuenta Portugal, sería del +5,6%. </w:t>
      </w:r>
    </w:p>
    <w:p w:rsidR="00C273AD" w:rsidRPr="008A5DBF" w:rsidRDefault="00C273AD" w:rsidP="00C273AD">
      <w:pPr>
        <w:spacing w:after="0" w:line="240" w:lineRule="auto"/>
        <w:jc w:val="both"/>
        <w:rPr>
          <w:rFonts w:cs="Bankinter"/>
          <w:color w:val="000000" w:themeColor="text1"/>
          <w:sz w:val="20"/>
          <w:szCs w:val="20"/>
        </w:rPr>
      </w:pPr>
    </w:p>
    <w:p w:rsidR="00AE26A4" w:rsidRPr="008A5DBF" w:rsidRDefault="00C273AD" w:rsidP="00AE26A4">
      <w:pPr>
        <w:spacing w:after="0" w:line="240" w:lineRule="auto"/>
        <w:jc w:val="both"/>
        <w:rPr>
          <w:rFonts w:ascii="Bankinter" w:hAnsi="Bankinter" w:cs="Bankinter"/>
          <w:color w:val="000000" w:themeColor="text1"/>
          <w:sz w:val="20"/>
          <w:szCs w:val="20"/>
        </w:rPr>
      </w:pPr>
      <w:r w:rsidRPr="008A5DBF">
        <w:rPr>
          <w:rFonts w:ascii="Bankinter" w:hAnsi="Bankinter" w:cs="Bankinter"/>
          <w:color w:val="000000" w:themeColor="text1"/>
          <w:sz w:val="20"/>
          <w:szCs w:val="20"/>
        </w:rPr>
        <w:t>Atendiendo al margen bruto suma, al 31 de marzo, 467,4 millones de euros, un 13,8% más que en el primer trimestre de 2016. Si excluimos Portugal, el crecimiento entre ambos epígrafes sería de un 5,5%.</w:t>
      </w:r>
    </w:p>
    <w:p w:rsidR="00AE26A4" w:rsidRPr="008A5DBF" w:rsidRDefault="00AE26A4" w:rsidP="00AE26A4">
      <w:pPr>
        <w:spacing w:after="0" w:line="240" w:lineRule="auto"/>
        <w:jc w:val="both"/>
        <w:rPr>
          <w:rFonts w:ascii="Bankinter" w:hAnsi="Bankinter" w:cs="Bankinter"/>
          <w:color w:val="000000" w:themeColor="text1"/>
          <w:sz w:val="20"/>
          <w:szCs w:val="20"/>
        </w:rPr>
      </w:pPr>
    </w:p>
    <w:p w:rsidR="00AE26A4" w:rsidRPr="008A5DBF" w:rsidRDefault="00C273AD" w:rsidP="00AE26A4">
      <w:pPr>
        <w:spacing w:after="0" w:line="240" w:lineRule="auto"/>
        <w:jc w:val="both"/>
        <w:rPr>
          <w:rFonts w:eastAsiaTheme="minorHAnsi" w:cs="Tms Rmn"/>
          <w:color w:val="000000" w:themeColor="text1"/>
          <w:sz w:val="20"/>
          <w:szCs w:val="20"/>
          <w:lang w:eastAsia="en-US"/>
        </w:rPr>
      </w:pPr>
      <w:r w:rsidRPr="008A5DBF">
        <w:rPr>
          <w:rFonts w:ascii="Bankinter" w:hAnsi="Bankinter" w:cs="Bankinter"/>
          <w:color w:val="000000" w:themeColor="text1"/>
          <w:sz w:val="20"/>
          <w:szCs w:val="20"/>
        </w:rPr>
        <w:t>Y en cuanto al margen de explotación, concluye el trimestre con 234,8 millones de euros, un 10,8% más que hace un año, y es que pese a asumir mayores costes que en el primer trimestre de 2016 (los relativos al negocio portugués que aún no estaba integrado y otros relacionados con la transformación digital), la diferencia entre ingresos y gastos es superior a</w:t>
      </w:r>
      <w:r w:rsidR="00AE26A4" w:rsidRPr="008A5DBF">
        <w:rPr>
          <w:rFonts w:ascii="Bankinter" w:hAnsi="Bankinter" w:cs="Bankinter"/>
          <w:color w:val="000000" w:themeColor="text1"/>
          <w:sz w:val="20"/>
          <w:szCs w:val="20"/>
        </w:rPr>
        <w:t xml:space="preserve">ctualmente a la de hace un año, con lo que el ratio de </w:t>
      </w:r>
      <w:r w:rsidR="00AE26A4" w:rsidRPr="008A5DBF">
        <w:rPr>
          <w:rFonts w:eastAsiaTheme="minorHAnsi" w:cs="Tms Rmn"/>
          <w:color w:val="000000" w:themeColor="text1"/>
          <w:sz w:val="20"/>
          <w:szCs w:val="20"/>
          <w:lang w:eastAsia="en-US"/>
        </w:rPr>
        <w:t>eficiencia de la actividad bancaria con amortizaciones se sitúa en el 46,6%.</w:t>
      </w:r>
    </w:p>
    <w:p w:rsidR="00AE26A4" w:rsidRPr="008A5DBF" w:rsidRDefault="00AE26A4" w:rsidP="00AE26A4">
      <w:pPr>
        <w:spacing w:after="0" w:line="240" w:lineRule="auto"/>
        <w:jc w:val="both"/>
        <w:rPr>
          <w:rFonts w:eastAsiaTheme="minorHAnsi" w:cs="Tms Rmn"/>
          <w:color w:val="000000" w:themeColor="text1"/>
          <w:sz w:val="20"/>
          <w:szCs w:val="20"/>
          <w:lang w:eastAsia="en-US"/>
        </w:rPr>
      </w:pPr>
    </w:p>
    <w:p w:rsidR="00AE26A4" w:rsidRPr="008A5DBF" w:rsidRDefault="00AE26A4" w:rsidP="00AE26A4">
      <w:pPr>
        <w:spacing w:after="0" w:line="240" w:lineRule="auto"/>
        <w:jc w:val="both"/>
        <w:rPr>
          <w:rFonts w:ascii="Bankinter" w:hAnsi="Bankinter" w:cs="Bankinter"/>
          <w:color w:val="000000" w:themeColor="text1"/>
          <w:sz w:val="20"/>
          <w:szCs w:val="20"/>
        </w:rPr>
      </w:pPr>
      <w:r w:rsidRPr="008A5DBF">
        <w:rPr>
          <w:rFonts w:ascii="Bankinter" w:hAnsi="Bankinter" w:cs="Bankinter"/>
          <w:color w:val="000000" w:themeColor="text1"/>
          <w:sz w:val="20"/>
          <w:szCs w:val="20"/>
        </w:rPr>
        <w:t xml:space="preserve">Asimismo, sin tener en cuenta el negocio de Portugal, el margen de explotación se incrementa en el año en un 4,6%. </w:t>
      </w:r>
    </w:p>
    <w:p w:rsidR="00DB37A5" w:rsidRPr="008A5DBF" w:rsidRDefault="00DB37A5" w:rsidP="00AE26A4">
      <w:pPr>
        <w:spacing w:after="0" w:line="240" w:lineRule="auto"/>
        <w:jc w:val="both"/>
        <w:rPr>
          <w:rFonts w:eastAsiaTheme="minorHAnsi" w:cs="Tms Rmn"/>
          <w:color w:val="000000" w:themeColor="text1"/>
          <w:sz w:val="20"/>
          <w:szCs w:val="20"/>
          <w:lang w:eastAsia="en-US"/>
        </w:rPr>
      </w:pPr>
    </w:p>
    <w:p w:rsidR="004526E2" w:rsidRPr="008A5DBF" w:rsidRDefault="00C273AD" w:rsidP="004526E2">
      <w:pPr>
        <w:spacing w:after="0" w:line="240" w:lineRule="auto"/>
        <w:jc w:val="both"/>
        <w:rPr>
          <w:rFonts w:cs="Bankinter"/>
          <w:color w:val="000000" w:themeColor="text1"/>
          <w:sz w:val="20"/>
          <w:szCs w:val="20"/>
        </w:rPr>
      </w:pPr>
      <w:r w:rsidRPr="008A5DBF">
        <w:rPr>
          <w:rFonts w:eastAsiaTheme="minorHAnsi" w:cs="Tms Rmn"/>
          <w:color w:val="000000" w:themeColor="text1"/>
          <w:sz w:val="20"/>
          <w:szCs w:val="20"/>
          <w:lang w:eastAsia="en-US"/>
        </w:rPr>
        <w:t>R</w:t>
      </w:r>
      <w:r w:rsidRPr="008A5DBF">
        <w:rPr>
          <w:rFonts w:cs="Bankinter"/>
          <w:color w:val="000000" w:themeColor="text1"/>
          <w:sz w:val="20"/>
          <w:szCs w:val="20"/>
        </w:rPr>
        <w:t xml:space="preserve">especto al balance de Bankinter, los activos totales del Grupo, incluyendo el negocio portugués, cierran el trimestre en 69.596 millones de euros, lo que supone un 13% más que en el primer trimestre de 2016. </w:t>
      </w:r>
    </w:p>
    <w:p w:rsidR="004526E2" w:rsidRPr="008A5DBF" w:rsidRDefault="004526E2" w:rsidP="004526E2">
      <w:pPr>
        <w:spacing w:after="0" w:line="240" w:lineRule="auto"/>
        <w:jc w:val="both"/>
        <w:rPr>
          <w:rFonts w:cs="Bankinter"/>
          <w:color w:val="000000" w:themeColor="text1"/>
          <w:sz w:val="20"/>
          <w:szCs w:val="20"/>
        </w:rPr>
      </w:pPr>
    </w:p>
    <w:p w:rsidR="004526E2" w:rsidRPr="008A5DBF" w:rsidRDefault="004526E2" w:rsidP="004526E2">
      <w:pPr>
        <w:spacing w:after="0" w:line="240" w:lineRule="auto"/>
        <w:jc w:val="both"/>
        <w:rPr>
          <w:color w:val="000000" w:themeColor="text1"/>
          <w:sz w:val="20"/>
          <w:szCs w:val="20"/>
        </w:rPr>
      </w:pPr>
      <w:r w:rsidRPr="008A5DBF">
        <w:rPr>
          <w:rFonts w:cs="Bankinter"/>
          <w:color w:val="000000" w:themeColor="text1"/>
          <w:sz w:val="20"/>
          <w:szCs w:val="20"/>
        </w:rPr>
        <w:t>En cuanto al total de la inversión crediticia</w:t>
      </w:r>
      <w:r w:rsidRPr="008A5DBF">
        <w:rPr>
          <w:color w:val="000000" w:themeColor="text1"/>
          <w:sz w:val="20"/>
          <w:szCs w:val="20"/>
        </w:rPr>
        <w:t xml:space="preserve"> a clientes alcanza los 51.287 millones de euros, un 15,7% más que hace un año. </w:t>
      </w:r>
    </w:p>
    <w:p w:rsidR="00DB37A5" w:rsidRPr="008A5DBF" w:rsidRDefault="00DB37A5" w:rsidP="004526E2">
      <w:pPr>
        <w:spacing w:after="0" w:line="240" w:lineRule="auto"/>
        <w:jc w:val="both"/>
        <w:rPr>
          <w:color w:val="000000" w:themeColor="text1"/>
          <w:sz w:val="20"/>
          <w:szCs w:val="20"/>
        </w:rPr>
      </w:pPr>
    </w:p>
    <w:p w:rsidR="004526E2" w:rsidRPr="008A5DBF" w:rsidRDefault="004526E2" w:rsidP="004526E2">
      <w:pPr>
        <w:spacing w:after="0" w:line="240" w:lineRule="auto"/>
        <w:jc w:val="both"/>
        <w:rPr>
          <w:rFonts w:cs="Bankinter"/>
          <w:color w:val="000000" w:themeColor="text1"/>
          <w:sz w:val="20"/>
          <w:szCs w:val="20"/>
        </w:rPr>
      </w:pPr>
      <w:r w:rsidRPr="008A5DBF">
        <w:rPr>
          <w:rFonts w:cs="Bankinter"/>
          <w:color w:val="000000" w:themeColor="text1"/>
          <w:sz w:val="20"/>
          <w:szCs w:val="20"/>
        </w:rPr>
        <w:t>Los recursos controlados observan un crecimiento en proporción similar, hasta los 76.475,7 millones de euros, un 15,4% más que a marzo de 2016, destacando los recursos minoristas, 45.278,3 millones de euros, que crecen un 24,3</w:t>
      </w:r>
      <w:r w:rsidRPr="008A5DBF">
        <w:rPr>
          <w:rFonts w:ascii="Bankinter" w:eastAsiaTheme="minorHAnsi" w:hAnsi="Bankinter" w:cs="Bankinter"/>
          <w:color w:val="000000" w:themeColor="text1"/>
          <w:sz w:val="20"/>
          <w:szCs w:val="20"/>
          <w:lang w:val="es-ES_tradnl" w:eastAsia="en-US"/>
        </w:rPr>
        <w:t>%, y</w:t>
      </w:r>
      <w:r w:rsidRPr="008A5DBF">
        <w:rPr>
          <w:rFonts w:cs="Bankinter"/>
          <w:color w:val="000000" w:themeColor="text1"/>
          <w:sz w:val="20"/>
          <w:szCs w:val="20"/>
        </w:rPr>
        <w:t xml:space="preserve"> los recursos gestionados fuera de balance (fondos de inversión, fondos de pensiones y gestión patrimonial), que lo hacen en un 21,5% sobre marzo de 2016.</w:t>
      </w:r>
    </w:p>
    <w:p w:rsidR="004526E2" w:rsidRPr="008A5DBF" w:rsidRDefault="004526E2" w:rsidP="004526E2">
      <w:pPr>
        <w:spacing w:after="0" w:line="240" w:lineRule="auto"/>
        <w:jc w:val="both"/>
        <w:rPr>
          <w:rFonts w:cs="Bankinter"/>
          <w:color w:val="000000" w:themeColor="text1"/>
          <w:sz w:val="20"/>
          <w:szCs w:val="20"/>
        </w:rPr>
      </w:pPr>
    </w:p>
    <w:p w:rsidR="004526E2" w:rsidRPr="008A5DBF" w:rsidRDefault="004526E2" w:rsidP="004526E2">
      <w:pPr>
        <w:spacing w:after="0" w:line="240" w:lineRule="auto"/>
        <w:jc w:val="both"/>
        <w:rPr>
          <w:rFonts w:cs="Bankinter"/>
          <w:color w:val="000000" w:themeColor="text1"/>
          <w:sz w:val="20"/>
          <w:szCs w:val="20"/>
        </w:rPr>
      </w:pPr>
      <w:r w:rsidRPr="008A5DBF">
        <w:rPr>
          <w:rFonts w:cs="Bankinter"/>
          <w:color w:val="000000" w:themeColor="text1"/>
          <w:sz w:val="20"/>
          <w:szCs w:val="20"/>
        </w:rPr>
        <w:t xml:space="preserve">No obstante, sin tener en cuenta los datos de negocio de Portugal, ambos epígrafes -recursos e inversión crediticia- sostienen crecimientos </w:t>
      </w:r>
      <w:r w:rsidR="00AE26A4" w:rsidRPr="008A5DBF">
        <w:rPr>
          <w:rFonts w:cs="Bankinter"/>
          <w:color w:val="000000" w:themeColor="text1"/>
          <w:sz w:val="20"/>
          <w:szCs w:val="20"/>
        </w:rPr>
        <w:t>muy notables</w:t>
      </w:r>
      <w:r w:rsidRPr="008A5DBF">
        <w:rPr>
          <w:rFonts w:cs="Bankinter"/>
          <w:color w:val="000000" w:themeColor="text1"/>
          <w:sz w:val="20"/>
          <w:szCs w:val="20"/>
        </w:rPr>
        <w:t xml:space="preserve">. </w:t>
      </w:r>
    </w:p>
    <w:p w:rsidR="004526E2" w:rsidRPr="008A5DBF" w:rsidRDefault="004526E2" w:rsidP="004526E2">
      <w:pPr>
        <w:spacing w:after="0" w:line="240" w:lineRule="auto"/>
        <w:jc w:val="both"/>
        <w:rPr>
          <w:rFonts w:cs="Bankinter"/>
          <w:color w:val="000000" w:themeColor="text1"/>
          <w:sz w:val="20"/>
          <w:szCs w:val="20"/>
        </w:rPr>
      </w:pPr>
    </w:p>
    <w:p w:rsidR="004526E2" w:rsidRPr="008A5DBF" w:rsidRDefault="004526E2" w:rsidP="004526E2">
      <w:pPr>
        <w:spacing w:after="0" w:line="240" w:lineRule="auto"/>
        <w:jc w:val="both"/>
        <w:rPr>
          <w:color w:val="000000" w:themeColor="text1"/>
          <w:sz w:val="20"/>
          <w:szCs w:val="20"/>
        </w:rPr>
      </w:pPr>
      <w:r w:rsidRPr="008A5DBF">
        <w:rPr>
          <w:rFonts w:cs="Bankinter"/>
          <w:color w:val="000000" w:themeColor="text1"/>
          <w:sz w:val="20"/>
          <w:szCs w:val="20"/>
        </w:rPr>
        <w:t xml:space="preserve">Así, el total de la inversión crediticia a clientes –sin Portugal- </w:t>
      </w:r>
      <w:r w:rsidRPr="008A5DBF">
        <w:rPr>
          <w:color w:val="000000" w:themeColor="text1"/>
          <w:sz w:val="20"/>
          <w:szCs w:val="20"/>
        </w:rPr>
        <w:t xml:space="preserve">llega al 31 de marzo de 2017 hasta los 46.657,6 millones de euros, un 5,3% más que hace un año, lo que </w:t>
      </w:r>
      <w:r w:rsidRPr="008A5DBF">
        <w:rPr>
          <w:color w:val="000000" w:themeColor="text1"/>
          <w:sz w:val="20"/>
          <w:szCs w:val="20"/>
        </w:rPr>
        <w:lastRenderedPageBreak/>
        <w:t>supone un crecimiento puramente orgánico en créditos de 2.337,6 millones de euros, cuando el sector ha reducido el volumen de crédito en un 2,9%.</w:t>
      </w:r>
    </w:p>
    <w:p w:rsidR="004526E2" w:rsidRPr="008A5DBF" w:rsidRDefault="004526E2" w:rsidP="004526E2">
      <w:pPr>
        <w:spacing w:after="0" w:line="240" w:lineRule="auto"/>
        <w:jc w:val="both"/>
        <w:rPr>
          <w:color w:val="000000" w:themeColor="text1"/>
          <w:sz w:val="20"/>
          <w:szCs w:val="20"/>
        </w:rPr>
      </w:pPr>
    </w:p>
    <w:p w:rsidR="004526E2" w:rsidRPr="008A5DBF" w:rsidRDefault="004526E2" w:rsidP="004526E2">
      <w:pPr>
        <w:spacing w:after="0" w:line="240" w:lineRule="auto"/>
        <w:jc w:val="both"/>
        <w:rPr>
          <w:rFonts w:cs="Bankinter"/>
          <w:strike/>
          <w:color w:val="000000" w:themeColor="text1"/>
          <w:sz w:val="20"/>
          <w:szCs w:val="20"/>
        </w:rPr>
      </w:pPr>
      <w:r w:rsidRPr="008A5DBF">
        <w:rPr>
          <w:rFonts w:cs="Bankinter"/>
          <w:color w:val="000000" w:themeColor="text1"/>
          <w:sz w:val="20"/>
          <w:szCs w:val="20"/>
        </w:rPr>
        <w:t>Y en cuanto a los recursos minoristas sin contar Portugal, alcanzan al cierre de este primer trimestre de 2017 los 41.233,2 millones de euros, con un 13,2% de crecimiento en el año.</w:t>
      </w:r>
    </w:p>
    <w:p w:rsidR="007E0ED8" w:rsidRPr="008A5DBF" w:rsidRDefault="007E0ED8" w:rsidP="00630CFA">
      <w:pPr>
        <w:spacing w:after="0" w:line="240" w:lineRule="auto"/>
        <w:jc w:val="both"/>
        <w:rPr>
          <w:rFonts w:ascii="Bankinter" w:hAnsi="Bankinter"/>
          <w:color w:val="000000" w:themeColor="text1"/>
          <w:sz w:val="20"/>
          <w:szCs w:val="20"/>
        </w:rPr>
      </w:pPr>
    </w:p>
    <w:p w:rsidR="004526E2" w:rsidRPr="008A5DBF" w:rsidRDefault="00DB37A5" w:rsidP="004526E2">
      <w:pPr>
        <w:spacing w:after="0" w:line="240" w:lineRule="auto"/>
        <w:jc w:val="both"/>
        <w:rPr>
          <w:rFonts w:eastAsiaTheme="minorHAnsi" w:cs="Helv"/>
          <w:b/>
          <w:color w:val="000000" w:themeColor="text1"/>
          <w:sz w:val="20"/>
          <w:szCs w:val="20"/>
          <w:u w:val="single"/>
          <w:lang w:eastAsia="en-US"/>
        </w:rPr>
      </w:pPr>
      <w:r w:rsidRPr="008A5DBF">
        <w:rPr>
          <w:rFonts w:cs="Bankinter"/>
          <w:b/>
          <w:color w:val="000000" w:themeColor="text1"/>
          <w:sz w:val="20"/>
          <w:szCs w:val="20"/>
          <w:u w:val="single"/>
        </w:rPr>
        <w:t>Cinco l</w:t>
      </w:r>
      <w:r w:rsidR="00630CFA" w:rsidRPr="008A5DBF">
        <w:rPr>
          <w:rFonts w:cs="Bankinter"/>
          <w:b/>
          <w:color w:val="000000" w:themeColor="text1"/>
          <w:sz w:val="20"/>
          <w:szCs w:val="20"/>
          <w:u w:val="single"/>
        </w:rPr>
        <w:t xml:space="preserve">íneas de negocio </w:t>
      </w:r>
      <w:r w:rsidR="00630CFA" w:rsidRPr="008A5DBF">
        <w:rPr>
          <w:rFonts w:eastAsiaTheme="minorHAnsi" w:cs="Helv"/>
          <w:b/>
          <w:color w:val="000000" w:themeColor="text1"/>
          <w:sz w:val="20"/>
          <w:szCs w:val="20"/>
          <w:u w:val="single"/>
          <w:lang w:eastAsia="en-US"/>
        </w:rPr>
        <w:t>equilibradas y rentables.</w:t>
      </w:r>
    </w:p>
    <w:p w:rsidR="004526E2" w:rsidRPr="008A5DBF" w:rsidRDefault="004526E2" w:rsidP="004526E2">
      <w:pPr>
        <w:spacing w:after="0" w:line="240" w:lineRule="auto"/>
        <w:jc w:val="both"/>
        <w:rPr>
          <w:rFonts w:eastAsiaTheme="minorHAnsi" w:cs="Helv"/>
          <w:b/>
          <w:color w:val="000000" w:themeColor="text1"/>
          <w:sz w:val="20"/>
          <w:szCs w:val="20"/>
          <w:u w:val="single"/>
          <w:lang w:eastAsia="en-US"/>
        </w:rPr>
      </w:pPr>
    </w:p>
    <w:p w:rsidR="004526E2" w:rsidRPr="008A5DBF" w:rsidRDefault="004526E2" w:rsidP="004526E2">
      <w:pPr>
        <w:spacing w:after="0" w:line="240" w:lineRule="auto"/>
        <w:jc w:val="both"/>
        <w:rPr>
          <w:rFonts w:eastAsiaTheme="minorHAnsi" w:cs="Helv"/>
          <w:color w:val="000000" w:themeColor="text1"/>
          <w:sz w:val="20"/>
          <w:szCs w:val="20"/>
          <w:lang w:eastAsia="en-US"/>
        </w:rPr>
      </w:pPr>
      <w:r w:rsidRPr="008A5DBF">
        <w:rPr>
          <w:rFonts w:cs="Bankinter"/>
          <w:color w:val="000000" w:themeColor="text1"/>
          <w:sz w:val="20"/>
          <w:szCs w:val="20"/>
        </w:rPr>
        <w:t>Los resultados vuelven a demostrar que el negocio de clientes de Bankinter sigue siendo el principal contribuidor a los ingresos del Grupo. Así, e</w:t>
      </w:r>
      <w:r w:rsidRPr="008A5DBF">
        <w:rPr>
          <w:rFonts w:eastAsiaTheme="minorHAnsi" w:cs="Helv"/>
          <w:color w:val="000000" w:themeColor="text1"/>
          <w:sz w:val="20"/>
          <w:szCs w:val="20"/>
          <w:lang w:eastAsia="en-US"/>
        </w:rPr>
        <w:t>l banco ha desarrollado una estrategia basada en cinco líneas de negocio, equilibradas y rentables. Estas son: Banca de Empresas, Banca Comercial, Consumo, Línea Directa y Bankinter Portugal.</w:t>
      </w:r>
    </w:p>
    <w:p w:rsidR="004526E2" w:rsidRPr="008A5DBF" w:rsidRDefault="004526E2" w:rsidP="004526E2">
      <w:pPr>
        <w:spacing w:after="0" w:line="240" w:lineRule="auto"/>
        <w:jc w:val="both"/>
        <w:rPr>
          <w:rFonts w:eastAsiaTheme="minorHAnsi" w:cs="Helv"/>
          <w:color w:val="000000" w:themeColor="text1"/>
          <w:sz w:val="20"/>
          <w:szCs w:val="20"/>
          <w:lang w:eastAsia="en-US"/>
        </w:rPr>
      </w:pPr>
    </w:p>
    <w:p w:rsidR="004526E2" w:rsidRPr="008A5DBF" w:rsidRDefault="004526E2" w:rsidP="004526E2">
      <w:pPr>
        <w:spacing w:after="0" w:line="240" w:lineRule="auto"/>
        <w:jc w:val="both"/>
        <w:rPr>
          <w:rFonts w:eastAsiaTheme="minorHAnsi" w:cs="Helv"/>
          <w:color w:val="000000" w:themeColor="text1"/>
          <w:sz w:val="20"/>
          <w:szCs w:val="20"/>
          <w:lang w:eastAsia="en-US"/>
        </w:rPr>
      </w:pPr>
      <w:r w:rsidRPr="008A5DBF">
        <w:rPr>
          <w:rFonts w:eastAsiaTheme="minorHAnsi" w:cs="Helv"/>
          <w:color w:val="000000" w:themeColor="text1"/>
          <w:sz w:val="20"/>
          <w:szCs w:val="20"/>
          <w:lang w:eastAsia="en-US"/>
        </w:rPr>
        <w:t>La línea que realiza una mayor contribución al margen bruto es la de Banca de Empresas, que aporta un 29%. La inversión crediticia en empresas alcanza al cierre de marzo de 2017 los 21.600 millones de euros frente a los 19.700 millones de hace un año. Excluyendo los datos del negocio portugués, la cifra a marzo de 2017 se quedaría en 20.800 millones de euros, lo que supone un crecimiento puramente orgánico del 5,2% sobre el saldo de hace un año, cuando el sector ha visto reducido el volumen de crédito a empresas en un 4% en ese periodo. Asimismo, se fortalece la actividad comercial y transaccional con Empresas, con lo que ello supone de mayor vinculación con los clientes. Destaca, una vez más, el negocio internacional de empresas, que experimenta un crecimiento del 17% en su margen bruto frente al primer trimestre de 2016.</w:t>
      </w:r>
    </w:p>
    <w:p w:rsidR="004526E2" w:rsidRPr="008A5DBF" w:rsidRDefault="004526E2" w:rsidP="004526E2">
      <w:pPr>
        <w:spacing w:after="0" w:line="240" w:lineRule="auto"/>
        <w:jc w:val="both"/>
        <w:rPr>
          <w:rFonts w:eastAsiaTheme="minorHAnsi" w:cs="Helv"/>
          <w:color w:val="000000" w:themeColor="text1"/>
          <w:sz w:val="20"/>
          <w:szCs w:val="20"/>
          <w:lang w:eastAsia="en-US"/>
        </w:rPr>
      </w:pPr>
    </w:p>
    <w:p w:rsidR="004526E2" w:rsidRPr="008A5DBF" w:rsidRDefault="004526E2" w:rsidP="004526E2">
      <w:pPr>
        <w:spacing w:after="0" w:line="240" w:lineRule="auto"/>
        <w:jc w:val="both"/>
        <w:rPr>
          <w:rFonts w:eastAsiaTheme="minorHAnsi" w:cs="Helv"/>
          <w:color w:val="000000" w:themeColor="text1"/>
          <w:sz w:val="20"/>
          <w:szCs w:val="20"/>
          <w:lang w:eastAsia="en-US"/>
        </w:rPr>
      </w:pPr>
      <w:r w:rsidRPr="008A5DBF">
        <w:rPr>
          <w:rFonts w:eastAsiaTheme="minorHAnsi" w:cs="Helv"/>
          <w:color w:val="000000" w:themeColor="text1"/>
          <w:sz w:val="20"/>
          <w:szCs w:val="20"/>
          <w:lang w:eastAsia="en-US"/>
        </w:rPr>
        <w:t>En cuanto a Banca Comercial, o de personas físicas, destaca la buena evolución en los segmentos de Banca Privada y Banca Personal, que son claves en la estrategia del banco. En el primero de ellos, el patrimonio gestionado de estos clientes de alto patrimonio suma 33.100 millones de euros, un 17% por encima del mismo dato en el primer trimestre de 2016. En cuanto a Banca Personal, el patrimonio gestionado asciende hasta los 19.700 millones de euros, un 14% más.</w:t>
      </w:r>
    </w:p>
    <w:p w:rsidR="004526E2" w:rsidRPr="008A5DBF" w:rsidRDefault="004526E2" w:rsidP="004526E2">
      <w:pPr>
        <w:spacing w:after="0" w:line="240" w:lineRule="auto"/>
        <w:jc w:val="both"/>
        <w:rPr>
          <w:rFonts w:eastAsiaTheme="minorHAnsi" w:cs="Helv"/>
          <w:color w:val="000000" w:themeColor="text1"/>
          <w:sz w:val="20"/>
          <w:szCs w:val="20"/>
          <w:lang w:eastAsia="en-US"/>
        </w:rPr>
      </w:pPr>
    </w:p>
    <w:p w:rsidR="004526E2" w:rsidRPr="008A5DBF" w:rsidRDefault="004526E2" w:rsidP="004526E2">
      <w:pPr>
        <w:spacing w:after="0" w:line="240" w:lineRule="auto"/>
        <w:jc w:val="both"/>
        <w:rPr>
          <w:rFonts w:cs="Bankinter"/>
          <w:color w:val="000000" w:themeColor="text1"/>
          <w:sz w:val="20"/>
          <w:szCs w:val="20"/>
          <w:lang w:val="es-ES_tradnl"/>
        </w:rPr>
      </w:pPr>
      <w:r w:rsidRPr="008A5DBF">
        <w:rPr>
          <w:rFonts w:eastAsiaTheme="minorHAnsi" w:cs="Helv"/>
          <w:color w:val="000000" w:themeColor="text1"/>
          <w:sz w:val="20"/>
          <w:szCs w:val="20"/>
          <w:lang w:eastAsia="en-US"/>
        </w:rPr>
        <w:t xml:space="preserve">En esta línea de negocio de Banca Comercial destacan los resultados en dos productos por los que el banco viene apostando desde hace tiempo y que representan una clara vía de entrada de nuevos clientes: la cuenta nómina y los préstamos hipotecarios. En el primero, la cartera de este tipo de cuentas asciende a 5.856 millones de euros, un 33% más que doce meses atrás. </w:t>
      </w:r>
      <w:r w:rsidRPr="008A5DBF">
        <w:rPr>
          <w:rFonts w:cs="Bankinter"/>
          <w:color w:val="000000" w:themeColor="text1"/>
          <w:sz w:val="20"/>
          <w:szCs w:val="20"/>
          <w:lang w:val="es-ES_tradnl"/>
        </w:rPr>
        <w:t>Por su parte, la nueva producción hipotecaria residencial mantiene una buena tendencia,  con un volumen de nueva producción generado entre marzo 2016 y marzo 2017 de 2.346 millones de euros, que significa un crecimiento interanual del 17% frente al anterior periodo.</w:t>
      </w:r>
    </w:p>
    <w:p w:rsidR="004526E2" w:rsidRPr="008A5DBF" w:rsidRDefault="004526E2" w:rsidP="004526E2">
      <w:pPr>
        <w:spacing w:after="0" w:line="240" w:lineRule="auto"/>
        <w:jc w:val="both"/>
        <w:rPr>
          <w:rFonts w:cs="Bankinter"/>
          <w:color w:val="000000" w:themeColor="text1"/>
          <w:sz w:val="20"/>
          <w:szCs w:val="20"/>
          <w:lang w:val="es-ES_tradnl"/>
        </w:rPr>
      </w:pPr>
    </w:p>
    <w:p w:rsidR="004526E2" w:rsidRPr="008A5DBF" w:rsidRDefault="004526E2" w:rsidP="004526E2">
      <w:pPr>
        <w:spacing w:after="0" w:line="240" w:lineRule="auto"/>
        <w:jc w:val="both"/>
        <w:rPr>
          <w:rFonts w:cs="Bankinter"/>
          <w:color w:val="000000" w:themeColor="text1"/>
          <w:sz w:val="20"/>
          <w:szCs w:val="20"/>
        </w:rPr>
      </w:pPr>
      <w:r w:rsidRPr="008A5DBF">
        <w:rPr>
          <w:rFonts w:cs="Bankinter"/>
          <w:color w:val="000000" w:themeColor="text1"/>
          <w:sz w:val="20"/>
          <w:szCs w:val="20"/>
          <w:lang w:val="es-ES_tradnl"/>
        </w:rPr>
        <w:t xml:space="preserve">La tercera </w:t>
      </w:r>
      <w:r w:rsidR="00AE26A4" w:rsidRPr="008A5DBF">
        <w:rPr>
          <w:rFonts w:cs="Bankinter"/>
          <w:color w:val="000000" w:themeColor="text1"/>
          <w:sz w:val="20"/>
          <w:szCs w:val="20"/>
          <w:lang w:val="es-ES_tradnl"/>
        </w:rPr>
        <w:t>área</w:t>
      </w:r>
      <w:r w:rsidRPr="008A5DBF">
        <w:rPr>
          <w:rFonts w:cs="Bankinter"/>
          <w:color w:val="000000" w:themeColor="text1"/>
          <w:sz w:val="20"/>
          <w:szCs w:val="20"/>
          <w:lang w:val="es-ES_tradnl"/>
        </w:rPr>
        <w:t xml:space="preserve"> de negocio en términos de aportación al margen bruto es </w:t>
      </w:r>
      <w:r w:rsidRPr="008A5DBF">
        <w:rPr>
          <w:rFonts w:cs="Bankinter"/>
          <w:color w:val="000000" w:themeColor="text1"/>
          <w:sz w:val="20"/>
          <w:szCs w:val="20"/>
        </w:rPr>
        <w:t>Línea Directa. El número de pólizas de la compañía aseguradora alcanza a marzo de 2017 los 2,64 millones. El crecimiento es de un 7,7% en pólizas motor, y del 15% en Hogar. En cuanto a las primas, suman 188,8 millones de euros, frente a los 172,2 millones de hace un año, lo que supone un crecimiento muy superior al del sector</w:t>
      </w:r>
      <w:r w:rsidR="00AE26A4" w:rsidRPr="008A5DBF">
        <w:rPr>
          <w:rFonts w:cs="Bankinter"/>
          <w:color w:val="000000" w:themeColor="text1"/>
          <w:sz w:val="20"/>
          <w:szCs w:val="20"/>
        </w:rPr>
        <w:t>, que está en niveles del 4%</w:t>
      </w:r>
      <w:r w:rsidRPr="008A5DBF">
        <w:rPr>
          <w:rFonts w:cs="Bankinter"/>
          <w:color w:val="000000" w:themeColor="text1"/>
          <w:sz w:val="20"/>
          <w:szCs w:val="20"/>
        </w:rPr>
        <w:t xml:space="preserve">. Esta compañía mantiene la alta rentabilidad del negocio, con un ROE del </w:t>
      </w:r>
      <w:r w:rsidRPr="008A5DBF">
        <w:rPr>
          <w:rFonts w:cs="Bankinter"/>
          <w:bCs/>
          <w:color w:val="000000" w:themeColor="text1"/>
          <w:sz w:val="20"/>
          <w:szCs w:val="20"/>
        </w:rPr>
        <w:t>33,7%,</w:t>
      </w:r>
      <w:r w:rsidRPr="008A5DBF">
        <w:rPr>
          <w:rFonts w:cs="Bankinter"/>
          <w:color w:val="000000" w:themeColor="text1"/>
          <w:sz w:val="20"/>
          <w:szCs w:val="20"/>
        </w:rPr>
        <w:t xml:space="preserve"> y con un ratio combinado del 88,7%.</w:t>
      </w:r>
    </w:p>
    <w:p w:rsidR="004526E2" w:rsidRPr="008A5DBF" w:rsidRDefault="004526E2" w:rsidP="004526E2">
      <w:pPr>
        <w:spacing w:after="0" w:line="240" w:lineRule="auto"/>
        <w:jc w:val="both"/>
        <w:rPr>
          <w:rFonts w:cs="Bankinter"/>
          <w:color w:val="000000" w:themeColor="text1"/>
          <w:sz w:val="20"/>
          <w:szCs w:val="20"/>
        </w:rPr>
      </w:pPr>
    </w:p>
    <w:p w:rsidR="004526E2" w:rsidRPr="008A5DBF" w:rsidRDefault="004526E2" w:rsidP="004526E2">
      <w:pPr>
        <w:spacing w:after="0" w:line="240" w:lineRule="auto"/>
        <w:jc w:val="both"/>
        <w:rPr>
          <w:rFonts w:cs="Bankinter"/>
          <w:color w:val="000000" w:themeColor="text1"/>
          <w:sz w:val="20"/>
          <w:szCs w:val="20"/>
          <w:lang w:val="es-ES_tradnl"/>
        </w:rPr>
      </w:pPr>
      <w:r w:rsidRPr="008A5DBF">
        <w:rPr>
          <w:rFonts w:cs="Bankinter"/>
          <w:color w:val="000000" w:themeColor="text1"/>
          <w:sz w:val="20"/>
          <w:szCs w:val="20"/>
          <w:lang w:val="es-ES_tradnl"/>
        </w:rPr>
        <w:t xml:space="preserve">Es también reseñable la evolución de la línea de negocio de Financiación al Consumo, operado a través de Bankinter </w:t>
      </w:r>
      <w:proofErr w:type="spellStart"/>
      <w:r w:rsidRPr="008A5DBF">
        <w:rPr>
          <w:rFonts w:cs="Bankinter"/>
          <w:color w:val="000000" w:themeColor="text1"/>
          <w:sz w:val="20"/>
          <w:szCs w:val="20"/>
          <w:lang w:val="es-ES_tradnl"/>
        </w:rPr>
        <w:t>Consumer</w:t>
      </w:r>
      <w:proofErr w:type="spellEnd"/>
      <w:r w:rsidRPr="008A5DBF">
        <w:rPr>
          <w:rFonts w:cs="Bankinter"/>
          <w:color w:val="000000" w:themeColor="text1"/>
          <w:sz w:val="20"/>
          <w:szCs w:val="20"/>
          <w:lang w:val="es-ES_tradnl"/>
        </w:rPr>
        <w:t xml:space="preserve"> </w:t>
      </w:r>
      <w:proofErr w:type="spellStart"/>
      <w:r w:rsidRPr="008A5DBF">
        <w:rPr>
          <w:rFonts w:cs="Bankinter"/>
          <w:color w:val="000000" w:themeColor="text1"/>
          <w:sz w:val="20"/>
          <w:szCs w:val="20"/>
          <w:lang w:val="es-ES_tradnl"/>
        </w:rPr>
        <w:t>Finance</w:t>
      </w:r>
      <w:proofErr w:type="spellEnd"/>
      <w:r w:rsidRPr="008A5DBF">
        <w:rPr>
          <w:rFonts w:cs="Bankinter"/>
          <w:color w:val="000000" w:themeColor="text1"/>
          <w:sz w:val="20"/>
          <w:szCs w:val="20"/>
          <w:lang w:val="es-ES_tradnl"/>
        </w:rPr>
        <w:t>. Esta filial suma una cartera de 952.000 clientes, un 25% más en estos doce meses. Asimismo, la inversión llega hasta los 1.118 millones de euros, que representa un crecimiento del 44% sobre la misma cifra a 31 de marzo de 2016.</w:t>
      </w:r>
    </w:p>
    <w:p w:rsidR="004526E2" w:rsidRPr="008A5DBF" w:rsidRDefault="004526E2" w:rsidP="004526E2">
      <w:pPr>
        <w:spacing w:after="0" w:line="240" w:lineRule="auto"/>
        <w:jc w:val="both"/>
        <w:rPr>
          <w:rFonts w:cs="Bankinter"/>
          <w:color w:val="000000" w:themeColor="text1"/>
          <w:sz w:val="20"/>
          <w:szCs w:val="20"/>
          <w:lang w:val="es-ES_tradnl"/>
        </w:rPr>
      </w:pPr>
    </w:p>
    <w:p w:rsidR="004526E2" w:rsidRPr="008A5DBF" w:rsidRDefault="004526E2" w:rsidP="004526E2">
      <w:pPr>
        <w:spacing w:after="0" w:line="240" w:lineRule="auto"/>
        <w:jc w:val="both"/>
        <w:rPr>
          <w:rFonts w:cs="Bankinter"/>
          <w:color w:val="000000" w:themeColor="text1"/>
          <w:sz w:val="20"/>
          <w:szCs w:val="20"/>
        </w:rPr>
      </w:pPr>
      <w:r w:rsidRPr="008A5DBF">
        <w:rPr>
          <w:rFonts w:cs="Bankinter"/>
          <w:color w:val="000000" w:themeColor="text1"/>
          <w:sz w:val="20"/>
          <w:szCs w:val="20"/>
        </w:rPr>
        <w:t>En lo referente a Bankinter Portugal, los recursos de clientes suman 4.000 millones de euros, un 46% más que en el primer trimestre de 2016. La inversión crediticia asciende a 4.600 millones de euros, lo que supone un 3% de incremento en el periodo. Y en cuanto al margen bruto, concluye marzo de 2017 en 34,2 millones de euros.</w:t>
      </w:r>
    </w:p>
    <w:p w:rsidR="004526E2" w:rsidRPr="008A5DBF" w:rsidRDefault="004526E2" w:rsidP="004526E2">
      <w:pPr>
        <w:spacing w:after="0" w:line="240" w:lineRule="auto"/>
        <w:jc w:val="both"/>
        <w:rPr>
          <w:rFonts w:cs="Bankinter"/>
          <w:color w:val="000000" w:themeColor="text1"/>
          <w:sz w:val="20"/>
          <w:szCs w:val="20"/>
        </w:rPr>
      </w:pPr>
    </w:p>
    <w:p w:rsidR="004526E2" w:rsidRDefault="004526E2" w:rsidP="004526E2">
      <w:pPr>
        <w:spacing w:after="0" w:line="240" w:lineRule="auto"/>
        <w:jc w:val="both"/>
        <w:rPr>
          <w:rFonts w:cs="Bankinter"/>
          <w:color w:val="000000" w:themeColor="text1"/>
          <w:sz w:val="20"/>
          <w:szCs w:val="20"/>
          <w:lang w:val="es-ES_tradnl"/>
        </w:rPr>
      </w:pPr>
      <w:r w:rsidRPr="008A5DBF">
        <w:rPr>
          <w:rFonts w:cs="Bankinter"/>
          <w:color w:val="000000" w:themeColor="text1"/>
          <w:sz w:val="20"/>
          <w:szCs w:val="20"/>
          <w:lang w:val="es-ES_tradnl"/>
        </w:rPr>
        <w:t xml:space="preserve">Por último, cabe mencionar los datos de la actividad digital de Bankinter, que cuenta con una base de clientes que, cada vez en mayor medida, utiliza los canales digitales en su relación con el banco.  Así, un 30% de los clientes de Bankinter utilizan exclusivamente los canales </w:t>
      </w:r>
      <w:proofErr w:type="spellStart"/>
      <w:r w:rsidRPr="008A5DBF">
        <w:rPr>
          <w:rFonts w:cs="Bankinter"/>
          <w:color w:val="000000" w:themeColor="text1"/>
          <w:sz w:val="20"/>
          <w:szCs w:val="20"/>
          <w:lang w:val="es-ES_tradnl"/>
        </w:rPr>
        <w:t>on</w:t>
      </w:r>
      <w:proofErr w:type="spellEnd"/>
      <w:r w:rsidRPr="008A5DBF">
        <w:rPr>
          <w:rFonts w:cs="Bankinter"/>
          <w:color w:val="000000" w:themeColor="text1"/>
          <w:sz w:val="20"/>
          <w:szCs w:val="20"/>
          <w:lang w:val="es-ES_tradnl"/>
        </w:rPr>
        <w:t xml:space="preserve"> line; un 61% serían clientes “mixtos”, que operan indistintamente a través de canales tradicionales como digitales. Y sólo un 9% serían clientes “tradicionales”, que se relacionan mayoritariamente a través de la oficina o de banca telefónica. Por su parte, los datos del portal de ahorro digital </w:t>
      </w:r>
      <w:proofErr w:type="spellStart"/>
      <w:r w:rsidRPr="008A5DBF">
        <w:rPr>
          <w:rFonts w:cs="Bankinter"/>
          <w:color w:val="000000" w:themeColor="text1"/>
          <w:sz w:val="20"/>
          <w:szCs w:val="20"/>
          <w:lang w:val="es-ES_tradnl"/>
        </w:rPr>
        <w:t>Coinc</w:t>
      </w:r>
      <w:proofErr w:type="spellEnd"/>
      <w:r w:rsidRPr="008A5DBF">
        <w:rPr>
          <w:rFonts w:cs="Bankinter"/>
          <w:color w:val="000000" w:themeColor="text1"/>
          <w:sz w:val="20"/>
          <w:szCs w:val="20"/>
          <w:lang w:val="es-ES_tradnl"/>
        </w:rPr>
        <w:t xml:space="preserve"> demuestran la consolidación de esta web financiera que cuenta ya con 118.000 clientes, un 31% más que hace un año, y un patrimonio ahorrado de 1.300 millones de euros, un 19% más. </w:t>
      </w:r>
    </w:p>
    <w:p w:rsidR="005B62EF" w:rsidRDefault="005B62EF" w:rsidP="004526E2">
      <w:pPr>
        <w:spacing w:after="0" w:line="240" w:lineRule="auto"/>
        <w:jc w:val="both"/>
        <w:rPr>
          <w:rFonts w:cs="Bankinter"/>
          <w:color w:val="000000" w:themeColor="text1"/>
          <w:sz w:val="20"/>
          <w:szCs w:val="20"/>
          <w:lang w:val="es-ES_tradnl"/>
        </w:rPr>
      </w:pPr>
    </w:p>
    <w:p w:rsidR="00E37624" w:rsidRDefault="005B62EF" w:rsidP="004526E2">
      <w:pPr>
        <w:spacing w:after="0" w:line="240" w:lineRule="auto"/>
        <w:jc w:val="both"/>
        <w:rPr>
          <w:rFonts w:cs="Bankinter"/>
          <w:color w:val="000000" w:themeColor="text1"/>
          <w:sz w:val="20"/>
          <w:szCs w:val="20"/>
          <w:lang w:val="es-ES_tradnl"/>
        </w:rPr>
      </w:pPr>
      <w:r>
        <w:rPr>
          <w:rFonts w:cs="Bankinter"/>
          <w:noProof/>
          <w:color w:val="000000" w:themeColor="text1"/>
          <w:sz w:val="20"/>
          <w:szCs w:val="20"/>
        </w:rPr>
        <w:drawing>
          <wp:inline distT="0" distB="0" distL="0" distR="0">
            <wp:extent cx="5267325" cy="4914890"/>
            <wp:effectExtent l="0" t="0" r="0" b="635"/>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ales Magnitudes 1T 2017.png"/>
                    <pic:cNvPicPr/>
                  </pic:nvPicPr>
                  <pic:blipFill>
                    <a:blip r:embed="rId8">
                      <a:extLst>
                        <a:ext uri="{28A0092B-C50C-407E-A947-70E740481C1C}">
                          <a14:useLocalDpi xmlns:a14="http://schemas.microsoft.com/office/drawing/2010/main" val="0"/>
                        </a:ext>
                      </a:extLst>
                    </a:blip>
                    <a:stretch>
                      <a:fillRect/>
                    </a:stretch>
                  </pic:blipFill>
                  <pic:spPr>
                    <a:xfrm>
                      <a:off x="0" y="0"/>
                      <a:ext cx="5267325" cy="4914890"/>
                    </a:xfrm>
                    <a:prstGeom prst="rect">
                      <a:avLst/>
                    </a:prstGeom>
                  </pic:spPr>
                </pic:pic>
              </a:graphicData>
            </a:graphic>
          </wp:inline>
        </w:drawing>
      </w:r>
    </w:p>
    <w:sectPr w:rsidR="00E37624" w:rsidSect="00894AB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394" w:rsidRDefault="007F5394" w:rsidP="00A2498F">
      <w:pPr>
        <w:spacing w:after="0" w:line="240" w:lineRule="auto"/>
      </w:pPr>
      <w:r>
        <w:separator/>
      </w:r>
    </w:p>
  </w:endnote>
  <w:endnote w:type="continuationSeparator" w:id="0">
    <w:p w:rsidR="007F5394" w:rsidRDefault="007F5394" w:rsidP="00A24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Bankinter">
    <w:panose1 w:val="00000000000000000000"/>
    <w:charset w:val="00"/>
    <w:family w:val="auto"/>
    <w:pitch w:val="variable"/>
    <w:sig w:usb0="800000AF" w:usb1="1000204B"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566720"/>
      <w:docPartObj>
        <w:docPartGallery w:val="Page Numbers (Bottom of Page)"/>
        <w:docPartUnique/>
      </w:docPartObj>
    </w:sdtPr>
    <w:sdtEndPr/>
    <w:sdt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677C94" w:rsidRPr="00A2498F" w:rsidTr="00A2498F">
          <w:tc>
            <w:tcPr>
              <w:tcW w:w="4322" w:type="dxa"/>
            </w:tcPr>
            <w:p w:rsidR="00677C94" w:rsidRDefault="00677C94" w:rsidP="00A2498F">
              <w:pPr>
                <w:pStyle w:val="Piedepgina"/>
              </w:pPr>
            </w:p>
          </w:tc>
          <w:tc>
            <w:tcPr>
              <w:tcW w:w="4322" w:type="dxa"/>
            </w:tcPr>
            <w:p w:rsidR="00677C94" w:rsidRPr="00A2498F" w:rsidRDefault="00677C94" w:rsidP="00A2498F">
              <w:pPr>
                <w:pStyle w:val="Piedepgina"/>
                <w:jc w:val="right"/>
                <w:rPr>
                  <w:sz w:val="20"/>
                  <w:szCs w:val="20"/>
                </w:rPr>
              </w:pPr>
              <w:r w:rsidRPr="00A2498F">
                <w:rPr>
                  <w:sz w:val="20"/>
                  <w:szCs w:val="20"/>
                </w:rPr>
                <w:t>Página :</w:t>
              </w:r>
              <w:r w:rsidRPr="00A2498F">
                <w:rPr>
                  <w:sz w:val="20"/>
                  <w:szCs w:val="20"/>
                </w:rPr>
                <w:fldChar w:fldCharType="begin"/>
              </w:r>
              <w:r w:rsidRPr="00A2498F">
                <w:rPr>
                  <w:sz w:val="20"/>
                  <w:szCs w:val="20"/>
                </w:rPr>
                <w:instrText xml:space="preserve"> PAGE   \* MERGEFORMAT </w:instrText>
              </w:r>
              <w:r w:rsidRPr="00A2498F">
                <w:rPr>
                  <w:sz w:val="20"/>
                  <w:szCs w:val="20"/>
                </w:rPr>
                <w:fldChar w:fldCharType="separate"/>
              </w:r>
              <w:r w:rsidR="00310B8A">
                <w:rPr>
                  <w:noProof/>
                  <w:sz w:val="20"/>
                  <w:szCs w:val="20"/>
                </w:rPr>
                <w:t>1</w:t>
              </w:r>
              <w:r w:rsidRPr="00A2498F">
                <w:rPr>
                  <w:sz w:val="20"/>
                  <w:szCs w:val="20"/>
                </w:rPr>
                <w:fldChar w:fldCharType="end"/>
              </w:r>
              <w:r>
                <w:rPr>
                  <w:sz w:val="20"/>
                  <w:szCs w:val="20"/>
                </w:rPr>
                <w:t xml:space="preserve">  </w:t>
              </w:r>
            </w:p>
          </w:tc>
        </w:tr>
      </w:tbl>
      <w:p w:rsidR="00677C94" w:rsidRDefault="00310B8A">
        <w:pPr>
          <w:pStyle w:val="Piedepgina"/>
          <w:jc w:val="right"/>
        </w:pPr>
      </w:p>
    </w:sdtContent>
  </w:sdt>
  <w:p w:rsidR="00677C94" w:rsidRDefault="00677C9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394" w:rsidRDefault="007F5394" w:rsidP="00A2498F">
      <w:pPr>
        <w:spacing w:after="0" w:line="240" w:lineRule="auto"/>
      </w:pPr>
      <w:r>
        <w:separator/>
      </w:r>
    </w:p>
  </w:footnote>
  <w:footnote w:type="continuationSeparator" w:id="0">
    <w:p w:rsidR="007F5394" w:rsidRDefault="007F5394" w:rsidP="00A249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FE6384"/>
    <w:multiLevelType w:val="hybridMultilevel"/>
    <w:tmpl w:val="262268CC"/>
    <w:lvl w:ilvl="0" w:tplc="87C04F28">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
    <w:nsid w:val="50731C7F"/>
    <w:multiLevelType w:val="hybridMultilevel"/>
    <w:tmpl w:val="B7AE3EAC"/>
    <w:lvl w:ilvl="0" w:tplc="C1E26F48">
      <w:start w:val="16"/>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nsid w:val="59CE02F2"/>
    <w:multiLevelType w:val="hybridMultilevel"/>
    <w:tmpl w:val="3EE67EF2"/>
    <w:lvl w:ilvl="0" w:tplc="AACABAD2">
      <w:start w:val="1"/>
      <w:numFmt w:val="bullet"/>
      <w:lvlText w:val="•"/>
      <w:lvlJc w:val="left"/>
      <w:pPr>
        <w:tabs>
          <w:tab w:val="num" w:pos="720"/>
        </w:tabs>
        <w:ind w:left="720" w:hanging="360"/>
      </w:pPr>
      <w:rPr>
        <w:rFonts w:ascii="Arial" w:hAnsi="Arial" w:hint="default"/>
      </w:rPr>
    </w:lvl>
    <w:lvl w:ilvl="1" w:tplc="BC4E96BC">
      <w:start w:val="1"/>
      <w:numFmt w:val="bullet"/>
      <w:lvlText w:val="•"/>
      <w:lvlJc w:val="left"/>
      <w:pPr>
        <w:tabs>
          <w:tab w:val="num" w:pos="1440"/>
        </w:tabs>
        <w:ind w:left="1440" w:hanging="360"/>
      </w:pPr>
      <w:rPr>
        <w:rFonts w:ascii="Arial" w:hAnsi="Arial" w:hint="default"/>
      </w:rPr>
    </w:lvl>
    <w:lvl w:ilvl="2" w:tplc="3464518A" w:tentative="1">
      <w:start w:val="1"/>
      <w:numFmt w:val="bullet"/>
      <w:lvlText w:val="•"/>
      <w:lvlJc w:val="left"/>
      <w:pPr>
        <w:tabs>
          <w:tab w:val="num" w:pos="2160"/>
        </w:tabs>
        <w:ind w:left="2160" w:hanging="360"/>
      </w:pPr>
      <w:rPr>
        <w:rFonts w:ascii="Arial" w:hAnsi="Arial" w:hint="default"/>
      </w:rPr>
    </w:lvl>
    <w:lvl w:ilvl="3" w:tplc="7FD6A8E6" w:tentative="1">
      <w:start w:val="1"/>
      <w:numFmt w:val="bullet"/>
      <w:lvlText w:val="•"/>
      <w:lvlJc w:val="left"/>
      <w:pPr>
        <w:tabs>
          <w:tab w:val="num" w:pos="2880"/>
        </w:tabs>
        <w:ind w:left="2880" w:hanging="360"/>
      </w:pPr>
      <w:rPr>
        <w:rFonts w:ascii="Arial" w:hAnsi="Arial" w:hint="default"/>
      </w:rPr>
    </w:lvl>
    <w:lvl w:ilvl="4" w:tplc="FB103226" w:tentative="1">
      <w:start w:val="1"/>
      <w:numFmt w:val="bullet"/>
      <w:lvlText w:val="•"/>
      <w:lvlJc w:val="left"/>
      <w:pPr>
        <w:tabs>
          <w:tab w:val="num" w:pos="3600"/>
        </w:tabs>
        <w:ind w:left="3600" w:hanging="360"/>
      </w:pPr>
      <w:rPr>
        <w:rFonts w:ascii="Arial" w:hAnsi="Arial" w:hint="default"/>
      </w:rPr>
    </w:lvl>
    <w:lvl w:ilvl="5" w:tplc="3BF481B8" w:tentative="1">
      <w:start w:val="1"/>
      <w:numFmt w:val="bullet"/>
      <w:lvlText w:val="•"/>
      <w:lvlJc w:val="left"/>
      <w:pPr>
        <w:tabs>
          <w:tab w:val="num" w:pos="4320"/>
        </w:tabs>
        <w:ind w:left="4320" w:hanging="360"/>
      </w:pPr>
      <w:rPr>
        <w:rFonts w:ascii="Arial" w:hAnsi="Arial" w:hint="default"/>
      </w:rPr>
    </w:lvl>
    <w:lvl w:ilvl="6" w:tplc="FA16CA46" w:tentative="1">
      <w:start w:val="1"/>
      <w:numFmt w:val="bullet"/>
      <w:lvlText w:val="•"/>
      <w:lvlJc w:val="left"/>
      <w:pPr>
        <w:tabs>
          <w:tab w:val="num" w:pos="5040"/>
        </w:tabs>
        <w:ind w:left="5040" w:hanging="360"/>
      </w:pPr>
      <w:rPr>
        <w:rFonts w:ascii="Arial" w:hAnsi="Arial" w:hint="default"/>
      </w:rPr>
    </w:lvl>
    <w:lvl w:ilvl="7" w:tplc="74404F66" w:tentative="1">
      <w:start w:val="1"/>
      <w:numFmt w:val="bullet"/>
      <w:lvlText w:val="•"/>
      <w:lvlJc w:val="left"/>
      <w:pPr>
        <w:tabs>
          <w:tab w:val="num" w:pos="5760"/>
        </w:tabs>
        <w:ind w:left="5760" w:hanging="360"/>
      </w:pPr>
      <w:rPr>
        <w:rFonts w:ascii="Arial" w:hAnsi="Arial" w:hint="default"/>
      </w:rPr>
    </w:lvl>
    <w:lvl w:ilvl="8" w:tplc="5AD05064" w:tentative="1">
      <w:start w:val="1"/>
      <w:numFmt w:val="bullet"/>
      <w:lvlText w:val="•"/>
      <w:lvlJc w:val="left"/>
      <w:pPr>
        <w:tabs>
          <w:tab w:val="num" w:pos="6480"/>
        </w:tabs>
        <w:ind w:left="6480" w:hanging="360"/>
      </w:pPr>
      <w:rPr>
        <w:rFonts w:ascii="Arial" w:hAnsi="Arial"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4CE"/>
    <w:rsid w:val="000110DC"/>
    <w:rsid w:val="00067D33"/>
    <w:rsid w:val="000756EA"/>
    <w:rsid w:val="00080871"/>
    <w:rsid w:val="000A16A7"/>
    <w:rsid w:val="000A59BD"/>
    <w:rsid w:val="000C33EE"/>
    <w:rsid w:val="000E1C32"/>
    <w:rsid w:val="00105CC8"/>
    <w:rsid w:val="00130076"/>
    <w:rsid w:val="00152186"/>
    <w:rsid w:val="00177015"/>
    <w:rsid w:val="001813C1"/>
    <w:rsid w:val="00184616"/>
    <w:rsid w:val="001E2CB2"/>
    <w:rsid w:val="001F4DD6"/>
    <w:rsid w:val="002173F8"/>
    <w:rsid w:val="00245503"/>
    <w:rsid w:val="0027532F"/>
    <w:rsid w:val="002A0E43"/>
    <w:rsid w:val="002A353E"/>
    <w:rsid w:val="002B24CE"/>
    <w:rsid w:val="002C345E"/>
    <w:rsid w:val="00310B8A"/>
    <w:rsid w:val="00325BEF"/>
    <w:rsid w:val="003C5C35"/>
    <w:rsid w:val="0040210C"/>
    <w:rsid w:val="00412D20"/>
    <w:rsid w:val="00416C61"/>
    <w:rsid w:val="00430C42"/>
    <w:rsid w:val="004526E2"/>
    <w:rsid w:val="0049153A"/>
    <w:rsid w:val="00493AD6"/>
    <w:rsid w:val="004A7346"/>
    <w:rsid w:val="004B6DCE"/>
    <w:rsid w:val="00563227"/>
    <w:rsid w:val="005735D2"/>
    <w:rsid w:val="00594028"/>
    <w:rsid w:val="005B62EF"/>
    <w:rsid w:val="005E4AE4"/>
    <w:rsid w:val="006071A9"/>
    <w:rsid w:val="00630CFA"/>
    <w:rsid w:val="00635F56"/>
    <w:rsid w:val="006753E7"/>
    <w:rsid w:val="00677C94"/>
    <w:rsid w:val="00680C40"/>
    <w:rsid w:val="006B065A"/>
    <w:rsid w:val="006D47D0"/>
    <w:rsid w:val="006E1ABD"/>
    <w:rsid w:val="006F3B66"/>
    <w:rsid w:val="00706C4D"/>
    <w:rsid w:val="00726B30"/>
    <w:rsid w:val="00786723"/>
    <w:rsid w:val="007A3CC2"/>
    <w:rsid w:val="007E0682"/>
    <w:rsid w:val="007E0ED8"/>
    <w:rsid w:val="007F5394"/>
    <w:rsid w:val="0081669D"/>
    <w:rsid w:val="0081686E"/>
    <w:rsid w:val="00842A3E"/>
    <w:rsid w:val="00894AB8"/>
    <w:rsid w:val="008A5DBF"/>
    <w:rsid w:val="008B3B5C"/>
    <w:rsid w:val="008C6D97"/>
    <w:rsid w:val="008F0977"/>
    <w:rsid w:val="008F4B03"/>
    <w:rsid w:val="00913786"/>
    <w:rsid w:val="00946271"/>
    <w:rsid w:val="009513A0"/>
    <w:rsid w:val="009A3886"/>
    <w:rsid w:val="009A3BFD"/>
    <w:rsid w:val="009C6386"/>
    <w:rsid w:val="00A047D5"/>
    <w:rsid w:val="00A2498F"/>
    <w:rsid w:val="00A31D24"/>
    <w:rsid w:val="00A6653A"/>
    <w:rsid w:val="00A95FD0"/>
    <w:rsid w:val="00AD06BF"/>
    <w:rsid w:val="00AE26A4"/>
    <w:rsid w:val="00AF1C29"/>
    <w:rsid w:val="00B44BAA"/>
    <w:rsid w:val="00B52EF2"/>
    <w:rsid w:val="00B861AC"/>
    <w:rsid w:val="00BB7025"/>
    <w:rsid w:val="00C273AD"/>
    <w:rsid w:val="00C3024B"/>
    <w:rsid w:val="00C60413"/>
    <w:rsid w:val="00C82347"/>
    <w:rsid w:val="00C87440"/>
    <w:rsid w:val="00CA37C1"/>
    <w:rsid w:val="00CA39E2"/>
    <w:rsid w:val="00CB452E"/>
    <w:rsid w:val="00CB7992"/>
    <w:rsid w:val="00CC56D8"/>
    <w:rsid w:val="00CE702D"/>
    <w:rsid w:val="00CE7EA9"/>
    <w:rsid w:val="00D05718"/>
    <w:rsid w:val="00D46CDB"/>
    <w:rsid w:val="00D516D1"/>
    <w:rsid w:val="00D72C10"/>
    <w:rsid w:val="00D957AF"/>
    <w:rsid w:val="00D95F35"/>
    <w:rsid w:val="00DA1050"/>
    <w:rsid w:val="00DB37A5"/>
    <w:rsid w:val="00DD00EE"/>
    <w:rsid w:val="00DD276D"/>
    <w:rsid w:val="00DF0722"/>
    <w:rsid w:val="00E31A92"/>
    <w:rsid w:val="00E35464"/>
    <w:rsid w:val="00E37624"/>
    <w:rsid w:val="00E56975"/>
    <w:rsid w:val="00E977E2"/>
    <w:rsid w:val="00E97909"/>
    <w:rsid w:val="00F8052B"/>
    <w:rsid w:val="00F90AB2"/>
    <w:rsid w:val="00FC1F13"/>
    <w:rsid w:val="00FE3A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5735D2"/>
    <w:pPr>
      <w:keepNext/>
      <w:keepLines/>
      <w:spacing w:before="480" w:after="0"/>
      <w:outlineLvl w:val="0"/>
    </w:pPr>
    <w:rPr>
      <w:rFonts w:asciiTheme="majorHAnsi" w:eastAsiaTheme="majorEastAsia" w:hAnsiTheme="majorHAnsi" w:cstheme="majorBidi"/>
      <w:b/>
      <w:bCs/>
      <w:color w:val="F56600" w:themeColor="text2"/>
      <w:sz w:val="28"/>
      <w:szCs w:val="28"/>
    </w:rPr>
  </w:style>
  <w:style w:type="paragraph" w:styleId="Ttulo2">
    <w:name w:val="heading 2"/>
    <w:basedOn w:val="Normal"/>
    <w:next w:val="Normal"/>
    <w:link w:val="Ttulo2Car"/>
    <w:uiPriority w:val="9"/>
    <w:semiHidden/>
    <w:unhideWhenUsed/>
    <w:qFormat/>
    <w:rsid w:val="005735D2"/>
    <w:pPr>
      <w:keepNext/>
      <w:keepLines/>
      <w:spacing w:before="200" w:after="0"/>
      <w:outlineLvl w:val="1"/>
    </w:pPr>
    <w:rPr>
      <w:rFonts w:asciiTheme="majorHAnsi" w:eastAsiaTheme="majorEastAsia" w:hAnsiTheme="majorHAnsi" w:cstheme="majorBidi"/>
      <w:b/>
      <w:bCs/>
      <w:color w:val="F56600" w:themeColor="text2"/>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735D2"/>
    <w:rPr>
      <w:rFonts w:asciiTheme="majorHAnsi" w:eastAsiaTheme="majorEastAsia" w:hAnsiTheme="majorHAnsi" w:cstheme="majorBidi"/>
      <w:b/>
      <w:bCs/>
      <w:color w:val="F56600" w:themeColor="text2"/>
      <w:sz w:val="28"/>
      <w:szCs w:val="28"/>
    </w:rPr>
  </w:style>
  <w:style w:type="character" w:customStyle="1" w:styleId="Ttulo2Car">
    <w:name w:val="Título 2 Car"/>
    <w:basedOn w:val="Fuentedeprrafopredeter"/>
    <w:link w:val="Ttulo2"/>
    <w:uiPriority w:val="9"/>
    <w:semiHidden/>
    <w:rsid w:val="005735D2"/>
    <w:rPr>
      <w:rFonts w:asciiTheme="majorHAnsi" w:eastAsiaTheme="majorEastAsia" w:hAnsiTheme="majorHAnsi" w:cstheme="majorBidi"/>
      <w:b/>
      <w:bCs/>
      <w:color w:val="F56600" w:themeColor="text2"/>
      <w:sz w:val="26"/>
      <w:szCs w:val="26"/>
    </w:rPr>
  </w:style>
  <w:style w:type="paragraph" w:styleId="Ttulo">
    <w:name w:val="Title"/>
    <w:basedOn w:val="Normal"/>
    <w:next w:val="Normal"/>
    <w:link w:val="TtuloCar"/>
    <w:uiPriority w:val="10"/>
    <w:qFormat/>
    <w:rsid w:val="005735D2"/>
    <w:pPr>
      <w:pBdr>
        <w:bottom w:val="single" w:sz="8" w:space="4" w:color="FFFF99" w:themeColor="accent1"/>
      </w:pBdr>
      <w:spacing w:after="300" w:line="240" w:lineRule="auto"/>
      <w:contextualSpacing/>
    </w:pPr>
    <w:rPr>
      <w:rFonts w:asciiTheme="majorHAnsi" w:eastAsiaTheme="majorEastAsia" w:hAnsiTheme="majorHAnsi" w:cstheme="majorBidi"/>
      <w:color w:val="63544A"/>
      <w:spacing w:val="5"/>
      <w:kern w:val="28"/>
      <w:sz w:val="52"/>
      <w:szCs w:val="52"/>
    </w:rPr>
  </w:style>
  <w:style w:type="character" w:customStyle="1" w:styleId="TtuloCar">
    <w:name w:val="Título Car"/>
    <w:basedOn w:val="Fuentedeprrafopredeter"/>
    <w:link w:val="Ttulo"/>
    <w:uiPriority w:val="10"/>
    <w:rsid w:val="005735D2"/>
    <w:rPr>
      <w:rFonts w:asciiTheme="majorHAnsi" w:eastAsiaTheme="majorEastAsia" w:hAnsiTheme="majorHAnsi" w:cstheme="majorBidi"/>
      <w:color w:val="63544A"/>
      <w:spacing w:val="5"/>
      <w:kern w:val="28"/>
      <w:sz w:val="52"/>
      <w:szCs w:val="52"/>
    </w:rPr>
  </w:style>
  <w:style w:type="paragraph" w:styleId="Subttulo">
    <w:name w:val="Subtitle"/>
    <w:basedOn w:val="Normal"/>
    <w:next w:val="Normal"/>
    <w:link w:val="SubttuloCar"/>
    <w:uiPriority w:val="11"/>
    <w:qFormat/>
    <w:rsid w:val="005735D2"/>
    <w:pPr>
      <w:numPr>
        <w:ilvl w:val="1"/>
      </w:numPr>
    </w:pPr>
    <w:rPr>
      <w:rFonts w:asciiTheme="majorHAnsi" w:eastAsiaTheme="majorEastAsia" w:hAnsiTheme="majorHAnsi" w:cstheme="majorBidi"/>
      <w:i/>
      <w:iCs/>
      <w:color w:val="F56600" w:themeColor="text2"/>
      <w:spacing w:val="15"/>
      <w:sz w:val="24"/>
      <w:szCs w:val="24"/>
    </w:rPr>
  </w:style>
  <w:style w:type="character" w:customStyle="1" w:styleId="SubttuloCar">
    <w:name w:val="Subtítulo Car"/>
    <w:basedOn w:val="Fuentedeprrafopredeter"/>
    <w:link w:val="Subttulo"/>
    <w:uiPriority w:val="11"/>
    <w:rsid w:val="005735D2"/>
    <w:rPr>
      <w:rFonts w:asciiTheme="majorHAnsi" w:eastAsiaTheme="majorEastAsia" w:hAnsiTheme="majorHAnsi" w:cstheme="majorBidi"/>
      <w:i/>
      <w:iCs/>
      <w:color w:val="F56600" w:themeColor="text2"/>
      <w:spacing w:val="15"/>
      <w:sz w:val="24"/>
      <w:szCs w:val="24"/>
    </w:rPr>
  </w:style>
  <w:style w:type="character" w:styleId="nfasisintenso">
    <w:name w:val="Intense Emphasis"/>
    <w:basedOn w:val="Fuentedeprrafopredeter"/>
    <w:uiPriority w:val="21"/>
    <w:qFormat/>
    <w:rsid w:val="005735D2"/>
    <w:rPr>
      <w:b/>
      <w:bCs/>
      <w:i/>
      <w:iCs/>
      <w:color w:val="F56600" w:themeColor="text2"/>
    </w:rPr>
  </w:style>
  <w:style w:type="paragraph" w:styleId="Citadestacada">
    <w:name w:val="Intense Quote"/>
    <w:basedOn w:val="Normal"/>
    <w:next w:val="Normal"/>
    <w:link w:val="CitadestacadaCar"/>
    <w:uiPriority w:val="30"/>
    <w:qFormat/>
    <w:rsid w:val="005735D2"/>
    <w:pPr>
      <w:pBdr>
        <w:bottom w:val="single" w:sz="4" w:space="4" w:color="FFFF99" w:themeColor="accent1"/>
      </w:pBdr>
      <w:spacing w:before="200" w:after="280"/>
      <w:ind w:left="936" w:right="936"/>
    </w:pPr>
    <w:rPr>
      <w:b/>
      <w:bCs/>
      <w:i/>
      <w:iCs/>
      <w:color w:val="F56600" w:themeColor="text2"/>
    </w:rPr>
  </w:style>
  <w:style w:type="character" w:customStyle="1" w:styleId="CitadestacadaCar">
    <w:name w:val="Cita destacada Car"/>
    <w:basedOn w:val="Fuentedeprrafopredeter"/>
    <w:link w:val="Citadestacada"/>
    <w:uiPriority w:val="30"/>
    <w:rsid w:val="005735D2"/>
    <w:rPr>
      <w:b/>
      <w:bCs/>
      <w:i/>
      <w:iCs/>
      <w:color w:val="F56600" w:themeColor="text2"/>
    </w:rPr>
  </w:style>
  <w:style w:type="table" w:styleId="Tablaconcuadrcula">
    <w:name w:val="Table Grid"/>
    <w:basedOn w:val="Tablanormal"/>
    <w:uiPriority w:val="59"/>
    <w:rsid w:val="0013007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Sombreadoclaro-nfasis5">
    <w:name w:val="Light Shading Accent 5"/>
    <w:basedOn w:val="Tablanormal"/>
    <w:uiPriority w:val="60"/>
    <w:rsid w:val="00130076"/>
    <w:pPr>
      <w:spacing w:after="0" w:line="240" w:lineRule="auto"/>
    </w:pPr>
    <w:rPr>
      <w:color w:val="000000" w:themeColor="accent5" w:themeShade="BF"/>
    </w:rPr>
    <w:tblPr>
      <w:tblStyleRowBandSize w:val="1"/>
      <w:tblStyleColBandSize w:val="1"/>
      <w:tblBorders>
        <w:top w:val="single" w:sz="8" w:space="0" w:color="000000" w:themeColor="accent5"/>
        <w:bottom w:val="single" w:sz="8" w:space="0" w:color="000000" w:themeColor="accent5"/>
      </w:tblBorders>
    </w:tblPr>
    <w:tblStylePr w:type="firstRow">
      <w:pPr>
        <w:spacing w:before="0" w:after="0" w:line="240" w:lineRule="auto"/>
      </w:pPr>
      <w:rPr>
        <w:b/>
        <w:bCs/>
      </w:rPr>
      <w:tblPr/>
      <w:tcPr>
        <w:tcBorders>
          <w:top w:val="single" w:sz="8" w:space="0" w:color="000000" w:themeColor="accent5"/>
          <w:left w:val="nil"/>
          <w:bottom w:val="single" w:sz="8" w:space="0" w:color="000000" w:themeColor="accent5"/>
          <w:right w:val="nil"/>
          <w:insideH w:val="nil"/>
          <w:insideV w:val="nil"/>
        </w:tcBorders>
      </w:tcPr>
    </w:tblStylePr>
    <w:tblStylePr w:type="lastRow">
      <w:pPr>
        <w:spacing w:before="0" w:after="0" w:line="240" w:lineRule="auto"/>
      </w:pPr>
      <w:rPr>
        <w:b/>
        <w:bCs/>
      </w:rPr>
      <w:tblPr/>
      <w:tcPr>
        <w:tcBorders>
          <w:top w:val="single" w:sz="8" w:space="0" w:color="000000" w:themeColor="accent5"/>
          <w:left w:val="nil"/>
          <w:bottom w:val="single" w:sz="8" w:space="0" w:color="00000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accent5" w:themeFillTint="3F"/>
      </w:tcPr>
    </w:tblStylePr>
    <w:tblStylePr w:type="band1Horz">
      <w:tblPr/>
      <w:tcPr>
        <w:tcBorders>
          <w:left w:val="nil"/>
          <w:right w:val="nil"/>
          <w:insideH w:val="nil"/>
          <w:insideV w:val="nil"/>
        </w:tcBorders>
        <w:shd w:val="clear" w:color="auto" w:fill="C0C0C0" w:themeFill="accent5" w:themeFillTint="3F"/>
      </w:tcPr>
    </w:tblStylePr>
  </w:style>
  <w:style w:type="table" w:styleId="Listaclara-nfasis2">
    <w:name w:val="Light List Accent 2"/>
    <w:aliases w:val="Bankinter Naranja"/>
    <w:basedOn w:val="Tablanormal"/>
    <w:uiPriority w:val="61"/>
    <w:rsid w:val="00130076"/>
    <w:pPr>
      <w:spacing w:after="0" w:line="240" w:lineRule="auto"/>
    </w:pPr>
    <w:tblPr>
      <w:tblStyleRowBandSize w:val="1"/>
      <w:tblStyleColBandSize w:val="1"/>
      <w:tblBorders>
        <w:top w:val="single" w:sz="8" w:space="0" w:color="F56600" w:themeColor="accent2"/>
        <w:left w:val="single" w:sz="8" w:space="0" w:color="F56600" w:themeColor="accent2"/>
        <w:bottom w:val="single" w:sz="8" w:space="0" w:color="F56600" w:themeColor="accent2"/>
        <w:right w:val="single" w:sz="8" w:space="0" w:color="F56600" w:themeColor="accent2"/>
      </w:tblBorders>
    </w:tblPr>
    <w:tblStylePr w:type="firstRow">
      <w:pPr>
        <w:spacing w:before="0" w:after="0" w:line="240" w:lineRule="auto"/>
      </w:pPr>
      <w:rPr>
        <w:b/>
        <w:bCs/>
        <w:color w:val="FFFFFF" w:themeColor="background1"/>
      </w:rPr>
      <w:tblPr/>
      <w:tcPr>
        <w:shd w:val="clear" w:color="auto" w:fill="F56600" w:themeFill="accent2"/>
      </w:tcPr>
    </w:tblStylePr>
    <w:tblStylePr w:type="lastRow">
      <w:pPr>
        <w:spacing w:before="0" w:after="0" w:line="240" w:lineRule="auto"/>
      </w:pPr>
      <w:rPr>
        <w:b/>
        <w:bCs/>
      </w:rPr>
      <w:tblPr/>
      <w:tcPr>
        <w:tcBorders>
          <w:top w:val="double" w:sz="6" w:space="0" w:color="F56600" w:themeColor="accent2"/>
          <w:left w:val="single" w:sz="8" w:space="0" w:color="F56600" w:themeColor="accent2"/>
          <w:bottom w:val="single" w:sz="8" w:space="0" w:color="F56600" w:themeColor="accent2"/>
          <w:right w:val="single" w:sz="8" w:space="0" w:color="F56600" w:themeColor="accent2"/>
        </w:tcBorders>
      </w:tcPr>
    </w:tblStylePr>
    <w:tblStylePr w:type="firstCol">
      <w:rPr>
        <w:b/>
        <w:bCs/>
      </w:rPr>
    </w:tblStylePr>
    <w:tblStylePr w:type="lastCol">
      <w:rPr>
        <w:b/>
        <w:bCs/>
      </w:rPr>
    </w:tblStylePr>
    <w:tblStylePr w:type="band1Vert">
      <w:tblPr/>
      <w:tcPr>
        <w:tcBorders>
          <w:top w:val="single" w:sz="8" w:space="0" w:color="F56600" w:themeColor="accent2"/>
          <w:left w:val="single" w:sz="8" w:space="0" w:color="F56600" w:themeColor="accent2"/>
          <w:bottom w:val="single" w:sz="8" w:space="0" w:color="F56600" w:themeColor="accent2"/>
          <w:right w:val="single" w:sz="8" w:space="0" w:color="F56600" w:themeColor="accent2"/>
        </w:tcBorders>
      </w:tcPr>
    </w:tblStylePr>
    <w:tblStylePr w:type="band1Horz">
      <w:tblPr/>
      <w:tcPr>
        <w:tcBorders>
          <w:top w:val="single" w:sz="8" w:space="0" w:color="F56600" w:themeColor="accent2"/>
          <w:left w:val="single" w:sz="8" w:space="0" w:color="F56600" w:themeColor="accent2"/>
          <w:bottom w:val="single" w:sz="8" w:space="0" w:color="F56600" w:themeColor="accent2"/>
          <w:right w:val="single" w:sz="8" w:space="0" w:color="F56600" w:themeColor="accent2"/>
        </w:tcBorders>
      </w:tcPr>
    </w:tblStylePr>
  </w:style>
  <w:style w:type="table" w:styleId="Sombreadomedio1-nfasis2">
    <w:name w:val="Medium Shading 1 Accent 2"/>
    <w:aliases w:val="Bankinter Pijama"/>
    <w:basedOn w:val="Tablanormal"/>
    <w:uiPriority w:val="63"/>
    <w:rsid w:val="00130076"/>
    <w:pPr>
      <w:spacing w:after="0" w:line="240" w:lineRule="auto"/>
    </w:pPr>
    <w:tblPr>
      <w:tblStyleRowBandSize w:val="1"/>
      <w:tblStyleColBandSize w:val="1"/>
      <w:tblBorders>
        <w:top w:val="single" w:sz="8" w:space="0" w:color="FF8A38" w:themeColor="accent2" w:themeTint="BF"/>
        <w:left w:val="single" w:sz="8" w:space="0" w:color="FF8A38" w:themeColor="accent2" w:themeTint="BF"/>
        <w:bottom w:val="single" w:sz="8" w:space="0" w:color="FF8A38" w:themeColor="accent2" w:themeTint="BF"/>
        <w:right w:val="single" w:sz="8" w:space="0" w:color="FF8A38" w:themeColor="accent2" w:themeTint="BF"/>
        <w:insideH w:val="single" w:sz="8" w:space="0" w:color="FF8A38" w:themeColor="accent2" w:themeTint="BF"/>
      </w:tblBorders>
    </w:tblPr>
    <w:tblStylePr w:type="firstRow">
      <w:pPr>
        <w:spacing w:before="0" w:after="0" w:line="240" w:lineRule="auto"/>
      </w:pPr>
      <w:rPr>
        <w:b/>
        <w:bCs/>
        <w:color w:val="FFFFFF" w:themeColor="background1"/>
      </w:rPr>
      <w:tblPr/>
      <w:tcPr>
        <w:tcBorders>
          <w:top w:val="single" w:sz="8" w:space="0" w:color="FF8A38" w:themeColor="accent2" w:themeTint="BF"/>
          <w:left w:val="single" w:sz="8" w:space="0" w:color="FF8A38" w:themeColor="accent2" w:themeTint="BF"/>
          <w:bottom w:val="single" w:sz="8" w:space="0" w:color="FF8A38" w:themeColor="accent2" w:themeTint="BF"/>
          <w:right w:val="single" w:sz="8" w:space="0" w:color="FF8A38" w:themeColor="accent2" w:themeTint="BF"/>
          <w:insideH w:val="nil"/>
          <w:insideV w:val="nil"/>
        </w:tcBorders>
        <w:shd w:val="clear" w:color="auto" w:fill="F56600" w:themeFill="accent2"/>
      </w:tcPr>
    </w:tblStylePr>
    <w:tblStylePr w:type="lastRow">
      <w:pPr>
        <w:spacing w:before="0" w:after="0" w:line="240" w:lineRule="auto"/>
      </w:pPr>
      <w:rPr>
        <w:b/>
        <w:bCs/>
      </w:rPr>
      <w:tblPr/>
      <w:tcPr>
        <w:tcBorders>
          <w:top w:val="double" w:sz="6" w:space="0" w:color="FF8A38" w:themeColor="accent2" w:themeTint="BF"/>
          <w:left w:val="single" w:sz="8" w:space="0" w:color="FF8A38" w:themeColor="accent2" w:themeTint="BF"/>
          <w:bottom w:val="single" w:sz="8" w:space="0" w:color="FF8A38" w:themeColor="accent2" w:themeTint="BF"/>
          <w:right w:val="single" w:sz="8" w:space="0" w:color="FF8A38"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D8BD" w:themeFill="accent2" w:themeFillTint="3F"/>
      </w:tcPr>
    </w:tblStylePr>
    <w:tblStylePr w:type="band1Horz">
      <w:tblPr/>
      <w:tcPr>
        <w:tcBorders>
          <w:insideH w:val="nil"/>
          <w:insideV w:val="nil"/>
        </w:tcBorders>
        <w:shd w:val="clear" w:color="auto" w:fill="FFD8BD" w:themeFill="accent2" w:themeFillTint="3F"/>
      </w:tcPr>
    </w:tblStylePr>
    <w:tblStylePr w:type="band2Horz">
      <w:tblPr/>
      <w:tcPr>
        <w:tcBorders>
          <w:insideH w:val="nil"/>
          <w:insideV w:val="nil"/>
        </w:tcBorders>
      </w:tcPr>
    </w:tblStylePr>
  </w:style>
  <w:style w:type="table" w:styleId="Sombreadomedio2-nfasis2">
    <w:name w:val="Medium Shading 2 Accent 2"/>
    <w:basedOn w:val="Tablanormal"/>
    <w:uiPriority w:val="64"/>
    <w:rsid w:val="00130076"/>
    <w:pPr>
      <w:spacing w:after="0" w:line="240" w:lineRule="auto"/>
    </w:pPr>
    <w:tblPr>
      <w:tblStyleRowBandSize w:val="1"/>
      <w:tblStyleColBandSize w:val="1"/>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566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56600" w:themeFill="accent2"/>
      </w:tcPr>
    </w:tblStylePr>
    <w:tblStylePr w:type="lastCol">
      <w:rPr>
        <w:b/>
        <w:bCs/>
        <w:color w:val="FFFFFF" w:themeColor="background1"/>
      </w:rPr>
      <w:tblPr/>
      <w:tcPr>
        <w:tcBorders>
          <w:left w:val="nil"/>
          <w:right w:val="nil"/>
          <w:insideH w:val="nil"/>
          <w:insideV w:val="nil"/>
        </w:tcBorders>
        <w:shd w:val="clear" w:color="auto" w:fill="F566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Encabezado">
    <w:name w:val="header"/>
    <w:basedOn w:val="Normal"/>
    <w:link w:val="EncabezadoCar"/>
    <w:uiPriority w:val="99"/>
    <w:unhideWhenUsed/>
    <w:rsid w:val="00A2498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2498F"/>
  </w:style>
  <w:style w:type="paragraph" w:styleId="Piedepgina">
    <w:name w:val="footer"/>
    <w:basedOn w:val="Normal"/>
    <w:link w:val="PiedepginaCar"/>
    <w:uiPriority w:val="99"/>
    <w:unhideWhenUsed/>
    <w:rsid w:val="00A2498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2498F"/>
  </w:style>
  <w:style w:type="paragraph" w:styleId="Textodeglobo">
    <w:name w:val="Balloon Text"/>
    <w:basedOn w:val="Normal"/>
    <w:link w:val="TextodegloboCar"/>
    <w:uiPriority w:val="99"/>
    <w:semiHidden/>
    <w:unhideWhenUsed/>
    <w:rsid w:val="00A2498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98F"/>
    <w:rPr>
      <w:rFonts w:ascii="Tahoma" w:hAnsi="Tahoma" w:cs="Tahoma"/>
      <w:sz w:val="16"/>
      <w:szCs w:val="16"/>
    </w:rPr>
  </w:style>
  <w:style w:type="paragraph" w:styleId="Textocomentario">
    <w:name w:val="annotation text"/>
    <w:basedOn w:val="Normal"/>
    <w:link w:val="TextocomentarioCar"/>
    <w:uiPriority w:val="99"/>
    <w:unhideWhenUsed/>
    <w:rsid w:val="00430C42"/>
    <w:pPr>
      <w:spacing w:after="0" w:line="240" w:lineRule="auto"/>
    </w:pPr>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430C42"/>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C3024B"/>
    <w:pPr>
      <w:spacing w:after="0" w:line="240" w:lineRule="auto"/>
      <w:ind w:left="720"/>
    </w:pPr>
    <w:rPr>
      <w:rFonts w:ascii="Calibri" w:eastAsiaTheme="minorHAnsi" w:hAnsi="Calibri" w:cs="Times New Roman"/>
      <w:lang w:val="es-ES_tradnl" w:eastAsia="es-ES_tradnl"/>
    </w:rPr>
  </w:style>
  <w:style w:type="table" w:customStyle="1" w:styleId="BankinterPijama1">
    <w:name w:val="Bankinter Pijama1"/>
    <w:basedOn w:val="Tablanormal"/>
    <w:next w:val="Sombreadomedio1-nfasis2"/>
    <w:uiPriority w:val="63"/>
    <w:rsid w:val="00DD00EE"/>
    <w:pPr>
      <w:spacing w:after="0" w:line="240" w:lineRule="auto"/>
    </w:pPr>
    <w:rPr>
      <w:rFonts w:eastAsia="Times New Roman"/>
    </w:rPr>
    <w:tblPr>
      <w:tblStyleRowBandSize w:val="1"/>
      <w:tblStyleColBandSize w:val="1"/>
      <w:tblBorders>
        <w:top w:val="single" w:sz="8" w:space="0" w:color="FF8A38"/>
        <w:left w:val="single" w:sz="8" w:space="0" w:color="FF8A38"/>
        <w:bottom w:val="single" w:sz="8" w:space="0" w:color="FF8A38"/>
        <w:right w:val="single" w:sz="8" w:space="0" w:color="FF8A38"/>
        <w:insideH w:val="single" w:sz="8" w:space="0" w:color="FF8A38"/>
      </w:tblBorders>
    </w:tblPr>
    <w:tblStylePr w:type="firstRow">
      <w:pPr>
        <w:spacing w:before="0" w:after="0" w:line="240" w:lineRule="auto"/>
      </w:pPr>
      <w:rPr>
        <w:b/>
        <w:bCs/>
        <w:color w:val="FFFFFF"/>
      </w:rPr>
      <w:tblPr/>
      <w:tcPr>
        <w:tcBorders>
          <w:top w:val="single" w:sz="8" w:space="0" w:color="FF8A38"/>
          <w:left w:val="single" w:sz="8" w:space="0" w:color="FF8A38"/>
          <w:bottom w:val="single" w:sz="8" w:space="0" w:color="FF8A38"/>
          <w:right w:val="single" w:sz="8" w:space="0" w:color="FF8A38"/>
          <w:insideH w:val="nil"/>
          <w:insideV w:val="nil"/>
        </w:tcBorders>
        <w:shd w:val="clear" w:color="auto" w:fill="F56600"/>
      </w:tcPr>
    </w:tblStylePr>
    <w:tblStylePr w:type="lastRow">
      <w:pPr>
        <w:spacing w:before="0" w:after="0" w:line="240" w:lineRule="auto"/>
      </w:pPr>
      <w:rPr>
        <w:b/>
        <w:bCs/>
      </w:rPr>
      <w:tblPr/>
      <w:tcPr>
        <w:tcBorders>
          <w:top w:val="double" w:sz="6" w:space="0" w:color="FF8A38"/>
          <w:left w:val="single" w:sz="8" w:space="0" w:color="FF8A38"/>
          <w:bottom w:val="single" w:sz="8" w:space="0" w:color="FF8A38"/>
          <w:right w:val="single" w:sz="8" w:space="0" w:color="FF8A38"/>
          <w:insideH w:val="nil"/>
          <w:insideV w:val="nil"/>
        </w:tcBorders>
      </w:tcPr>
    </w:tblStylePr>
    <w:tblStylePr w:type="firstCol">
      <w:rPr>
        <w:b/>
        <w:bCs/>
      </w:rPr>
    </w:tblStylePr>
    <w:tblStylePr w:type="lastCol">
      <w:rPr>
        <w:b/>
        <w:bCs/>
      </w:rPr>
    </w:tblStylePr>
    <w:tblStylePr w:type="band1Vert">
      <w:tblPr/>
      <w:tcPr>
        <w:shd w:val="clear" w:color="auto" w:fill="FFD8BD"/>
      </w:tcPr>
    </w:tblStylePr>
    <w:tblStylePr w:type="band1Horz">
      <w:tblPr/>
      <w:tcPr>
        <w:tcBorders>
          <w:insideH w:val="nil"/>
          <w:insideV w:val="nil"/>
        </w:tcBorders>
        <w:shd w:val="clear" w:color="auto" w:fill="FFD8BD"/>
      </w:tcPr>
    </w:tblStylePr>
    <w:tblStylePr w:type="band2Horz">
      <w:tblPr/>
      <w:tcPr>
        <w:tcBorders>
          <w:insideH w:val="nil"/>
          <w:insideV w:val="nil"/>
        </w:tcBorders>
      </w:tcPr>
    </w:tblStylePr>
  </w:style>
  <w:style w:type="character" w:styleId="Refdecomentario">
    <w:name w:val="annotation reference"/>
    <w:basedOn w:val="Fuentedeprrafopredeter"/>
    <w:uiPriority w:val="99"/>
    <w:semiHidden/>
    <w:unhideWhenUsed/>
    <w:rsid w:val="00D05718"/>
    <w:rPr>
      <w:sz w:val="16"/>
      <w:szCs w:val="16"/>
    </w:rPr>
  </w:style>
  <w:style w:type="paragraph" w:styleId="Asuntodelcomentario">
    <w:name w:val="annotation subject"/>
    <w:basedOn w:val="Textocomentario"/>
    <w:next w:val="Textocomentario"/>
    <w:link w:val="AsuntodelcomentarioCar"/>
    <w:uiPriority w:val="99"/>
    <w:semiHidden/>
    <w:unhideWhenUsed/>
    <w:rsid w:val="00D05718"/>
    <w:pPr>
      <w:spacing w:after="200"/>
    </w:pPr>
    <w:rPr>
      <w:rFonts w:asciiTheme="minorHAnsi" w:eastAsiaTheme="minorEastAsia" w:hAnsiTheme="minorHAnsi" w:cstheme="minorBidi"/>
      <w:b/>
      <w:bCs/>
    </w:rPr>
  </w:style>
  <w:style w:type="character" w:customStyle="1" w:styleId="AsuntodelcomentarioCar">
    <w:name w:val="Asunto del comentario Car"/>
    <w:basedOn w:val="TextocomentarioCar"/>
    <w:link w:val="Asuntodelcomentario"/>
    <w:uiPriority w:val="99"/>
    <w:semiHidden/>
    <w:rsid w:val="00D05718"/>
    <w:rPr>
      <w:rFonts w:ascii="Times New Roman" w:eastAsia="Times New Roman" w:hAnsi="Times New Roman" w:cs="Times New Roman"/>
      <w:b/>
      <w:bCs/>
      <w:sz w:val="20"/>
      <w:szCs w:val="20"/>
      <w:lang w:eastAsia="es-ES"/>
    </w:rPr>
  </w:style>
  <w:style w:type="paragraph" w:styleId="NormalWeb">
    <w:name w:val="Normal (Web)"/>
    <w:basedOn w:val="Normal"/>
    <w:uiPriority w:val="99"/>
    <w:semiHidden/>
    <w:unhideWhenUsed/>
    <w:rsid w:val="00B44BA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5735D2"/>
    <w:pPr>
      <w:keepNext/>
      <w:keepLines/>
      <w:spacing w:before="480" w:after="0"/>
      <w:outlineLvl w:val="0"/>
    </w:pPr>
    <w:rPr>
      <w:rFonts w:asciiTheme="majorHAnsi" w:eastAsiaTheme="majorEastAsia" w:hAnsiTheme="majorHAnsi" w:cstheme="majorBidi"/>
      <w:b/>
      <w:bCs/>
      <w:color w:val="F56600" w:themeColor="text2"/>
      <w:sz w:val="28"/>
      <w:szCs w:val="28"/>
    </w:rPr>
  </w:style>
  <w:style w:type="paragraph" w:styleId="Ttulo2">
    <w:name w:val="heading 2"/>
    <w:basedOn w:val="Normal"/>
    <w:next w:val="Normal"/>
    <w:link w:val="Ttulo2Car"/>
    <w:uiPriority w:val="9"/>
    <w:semiHidden/>
    <w:unhideWhenUsed/>
    <w:qFormat/>
    <w:rsid w:val="005735D2"/>
    <w:pPr>
      <w:keepNext/>
      <w:keepLines/>
      <w:spacing w:before="200" w:after="0"/>
      <w:outlineLvl w:val="1"/>
    </w:pPr>
    <w:rPr>
      <w:rFonts w:asciiTheme="majorHAnsi" w:eastAsiaTheme="majorEastAsia" w:hAnsiTheme="majorHAnsi" w:cstheme="majorBidi"/>
      <w:b/>
      <w:bCs/>
      <w:color w:val="F56600" w:themeColor="text2"/>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735D2"/>
    <w:rPr>
      <w:rFonts w:asciiTheme="majorHAnsi" w:eastAsiaTheme="majorEastAsia" w:hAnsiTheme="majorHAnsi" w:cstheme="majorBidi"/>
      <w:b/>
      <w:bCs/>
      <w:color w:val="F56600" w:themeColor="text2"/>
      <w:sz w:val="28"/>
      <w:szCs w:val="28"/>
    </w:rPr>
  </w:style>
  <w:style w:type="character" w:customStyle="1" w:styleId="Ttulo2Car">
    <w:name w:val="Título 2 Car"/>
    <w:basedOn w:val="Fuentedeprrafopredeter"/>
    <w:link w:val="Ttulo2"/>
    <w:uiPriority w:val="9"/>
    <w:semiHidden/>
    <w:rsid w:val="005735D2"/>
    <w:rPr>
      <w:rFonts w:asciiTheme="majorHAnsi" w:eastAsiaTheme="majorEastAsia" w:hAnsiTheme="majorHAnsi" w:cstheme="majorBidi"/>
      <w:b/>
      <w:bCs/>
      <w:color w:val="F56600" w:themeColor="text2"/>
      <w:sz w:val="26"/>
      <w:szCs w:val="26"/>
    </w:rPr>
  </w:style>
  <w:style w:type="paragraph" w:styleId="Ttulo">
    <w:name w:val="Title"/>
    <w:basedOn w:val="Normal"/>
    <w:next w:val="Normal"/>
    <w:link w:val="TtuloCar"/>
    <w:uiPriority w:val="10"/>
    <w:qFormat/>
    <w:rsid w:val="005735D2"/>
    <w:pPr>
      <w:pBdr>
        <w:bottom w:val="single" w:sz="8" w:space="4" w:color="FFFF99" w:themeColor="accent1"/>
      </w:pBdr>
      <w:spacing w:after="300" w:line="240" w:lineRule="auto"/>
      <w:contextualSpacing/>
    </w:pPr>
    <w:rPr>
      <w:rFonts w:asciiTheme="majorHAnsi" w:eastAsiaTheme="majorEastAsia" w:hAnsiTheme="majorHAnsi" w:cstheme="majorBidi"/>
      <w:color w:val="63544A"/>
      <w:spacing w:val="5"/>
      <w:kern w:val="28"/>
      <w:sz w:val="52"/>
      <w:szCs w:val="52"/>
    </w:rPr>
  </w:style>
  <w:style w:type="character" w:customStyle="1" w:styleId="TtuloCar">
    <w:name w:val="Título Car"/>
    <w:basedOn w:val="Fuentedeprrafopredeter"/>
    <w:link w:val="Ttulo"/>
    <w:uiPriority w:val="10"/>
    <w:rsid w:val="005735D2"/>
    <w:rPr>
      <w:rFonts w:asciiTheme="majorHAnsi" w:eastAsiaTheme="majorEastAsia" w:hAnsiTheme="majorHAnsi" w:cstheme="majorBidi"/>
      <w:color w:val="63544A"/>
      <w:spacing w:val="5"/>
      <w:kern w:val="28"/>
      <w:sz w:val="52"/>
      <w:szCs w:val="52"/>
    </w:rPr>
  </w:style>
  <w:style w:type="paragraph" w:styleId="Subttulo">
    <w:name w:val="Subtitle"/>
    <w:basedOn w:val="Normal"/>
    <w:next w:val="Normal"/>
    <w:link w:val="SubttuloCar"/>
    <w:uiPriority w:val="11"/>
    <w:qFormat/>
    <w:rsid w:val="005735D2"/>
    <w:pPr>
      <w:numPr>
        <w:ilvl w:val="1"/>
      </w:numPr>
    </w:pPr>
    <w:rPr>
      <w:rFonts w:asciiTheme="majorHAnsi" w:eastAsiaTheme="majorEastAsia" w:hAnsiTheme="majorHAnsi" w:cstheme="majorBidi"/>
      <w:i/>
      <w:iCs/>
      <w:color w:val="F56600" w:themeColor="text2"/>
      <w:spacing w:val="15"/>
      <w:sz w:val="24"/>
      <w:szCs w:val="24"/>
    </w:rPr>
  </w:style>
  <w:style w:type="character" w:customStyle="1" w:styleId="SubttuloCar">
    <w:name w:val="Subtítulo Car"/>
    <w:basedOn w:val="Fuentedeprrafopredeter"/>
    <w:link w:val="Subttulo"/>
    <w:uiPriority w:val="11"/>
    <w:rsid w:val="005735D2"/>
    <w:rPr>
      <w:rFonts w:asciiTheme="majorHAnsi" w:eastAsiaTheme="majorEastAsia" w:hAnsiTheme="majorHAnsi" w:cstheme="majorBidi"/>
      <w:i/>
      <w:iCs/>
      <w:color w:val="F56600" w:themeColor="text2"/>
      <w:spacing w:val="15"/>
      <w:sz w:val="24"/>
      <w:szCs w:val="24"/>
    </w:rPr>
  </w:style>
  <w:style w:type="character" w:styleId="nfasisintenso">
    <w:name w:val="Intense Emphasis"/>
    <w:basedOn w:val="Fuentedeprrafopredeter"/>
    <w:uiPriority w:val="21"/>
    <w:qFormat/>
    <w:rsid w:val="005735D2"/>
    <w:rPr>
      <w:b/>
      <w:bCs/>
      <w:i/>
      <w:iCs/>
      <w:color w:val="F56600" w:themeColor="text2"/>
    </w:rPr>
  </w:style>
  <w:style w:type="paragraph" w:styleId="Citadestacada">
    <w:name w:val="Intense Quote"/>
    <w:basedOn w:val="Normal"/>
    <w:next w:val="Normal"/>
    <w:link w:val="CitadestacadaCar"/>
    <w:uiPriority w:val="30"/>
    <w:qFormat/>
    <w:rsid w:val="005735D2"/>
    <w:pPr>
      <w:pBdr>
        <w:bottom w:val="single" w:sz="4" w:space="4" w:color="FFFF99" w:themeColor="accent1"/>
      </w:pBdr>
      <w:spacing w:before="200" w:after="280"/>
      <w:ind w:left="936" w:right="936"/>
    </w:pPr>
    <w:rPr>
      <w:b/>
      <w:bCs/>
      <w:i/>
      <w:iCs/>
      <w:color w:val="F56600" w:themeColor="text2"/>
    </w:rPr>
  </w:style>
  <w:style w:type="character" w:customStyle="1" w:styleId="CitadestacadaCar">
    <w:name w:val="Cita destacada Car"/>
    <w:basedOn w:val="Fuentedeprrafopredeter"/>
    <w:link w:val="Citadestacada"/>
    <w:uiPriority w:val="30"/>
    <w:rsid w:val="005735D2"/>
    <w:rPr>
      <w:b/>
      <w:bCs/>
      <w:i/>
      <w:iCs/>
      <w:color w:val="F56600" w:themeColor="text2"/>
    </w:rPr>
  </w:style>
  <w:style w:type="table" w:styleId="Tablaconcuadrcula">
    <w:name w:val="Table Grid"/>
    <w:basedOn w:val="Tablanormal"/>
    <w:uiPriority w:val="59"/>
    <w:rsid w:val="0013007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Sombreadoclaro-nfasis5">
    <w:name w:val="Light Shading Accent 5"/>
    <w:basedOn w:val="Tablanormal"/>
    <w:uiPriority w:val="60"/>
    <w:rsid w:val="00130076"/>
    <w:pPr>
      <w:spacing w:after="0" w:line="240" w:lineRule="auto"/>
    </w:pPr>
    <w:rPr>
      <w:color w:val="000000" w:themeColor="accent5" w:themeShade="BF"/>
    </w:rPr>
    <w:tblPr>
      <w:tblStyleRowBandSize w:val="1"/>
      <w:tblStyleColBandSize w:val="1"/>
      <w:tblBorders>
        <w:top w:val="single" w:sz="8" w:space="0" w:color="000000" w:themeColor="accent5"/>
        <w:bottom w:val="single" w:sz="8" w:space="0" w:color="000000" w:themeColor="accent5"/>
      </w:tblBorders>
    </w:tblPr>
    <w:tblStylePr w:type="firstRow">
      <w:pPr>
        <w:spacing w:before="0" w:after="0" w:line="240" w:lineRule="auto"/>
      </w:pPr>
      <w:rPr>
        <w:b/>
        <w:bCs/>
      </w:rPr>
      <w:tblPr/>
      <w:tcPr>
        <w:tcBorders>
          <w:top w:val="single" w:sz="8" w:space="0" w:color="000000" w:themeColor="accent5"/>
          <w:left w:val="nil"/>
          <w:bottom w:val="single" w:sz="8" w:space="0" w:color="000000" w:themeColor="accent5"/>
          <w:right w:val="nil"/>
          <w:insideH w:val="nil"/>
          <w:insideV w:val="nil"/>
        </w:tcBorders>
      </w:tcPr>
    </w:tblStylePr>
    <w:tblStylePr w:type="lastRow">
      <w:pPr>
        <w:spacing w:before="0" w:after="0" w:line="240" w:lineRule="auto"/>
      </w:pPr>
      <w:rPr>
        <w:b/>
        <w:bCs/>
      </w:rPr>
      <w:tblPr/>
      <w:tcPr>
        <w:tcBorders>
          <w:top w:val="single" w:sz="8" w:space="0" w:color="000000" w:themeColor="accent5"/>
          <w:left w:val="nil"/>
          <w:bottom w:val="single" w:sz="8" w:space="0" w:color="00000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accent5" w:themeFillTint="3F"/>
      </w:tcPr>
    </w:tblStylePr>
    <w:tblStylePr w:type="band1Horz">
      <w:tblPr/>
      <w:tcPr>
        <w:tcBorders>
          <w:left w:val="nil"/>
          <w:right w:val="nil"/>
          <w:insideH w:val="nil"/>
          <w:insideV w:val="nil"/>
        </w:tcBorders>
        <w:shd w:val="clear" w:color="auto" w:fill="C0C0C0" w:themeFill="accent5" w:themeFillTint="3F"/>
      </w:tcPr>
    </w:tblStylePr>
  </w:style>
  <w:style w:type="table" w:styleId="Listaclara-nfasis2">
    <w:name w:val="Light List Accent 2"/>
    <w:aliases w:val="Bankinter Naranja"/>
    <w:basedOn w:val="Tablanormal"/>
    <w:uiPriority w:val="61"/>
    <w:rsid w:val="00130076"/>
    <w:pPr>
      <w:spacing w:after="0" w:line="240" w:lineRule="auto"/>
    </w:pPr>
    <w:tblPr>
      <w:tblStyleRowBandSize w:val="1"/>
      <w:tblStyleColBandSize w:val="1"/>
      <w:tblBorders>
        <w:top w:val="single" w:sz="8" w:space="0" w:color="F56600" w:themeColor="accent2"/>
        <w:left w:val="single" w:sz="8" w:space="0" w:color="F56600" w:themeColor="accent2"/>
        <w:bottom w:val="single" w:sz="8" w:space="0" w:color="F56600" w:themeColor="accent2"/>
        <w:right w:val="single" w:sz="8" w:space="0" w:color="F56600" w:themeColor="accent2"/>
      </w:tblBorders>
    </w:tblPr>
    <w:tblStylePr w:type="firstRow">
      <w:pPr>
        <w:spacing w:before="0" w:after="0" w:line="240" w:lineRule="auto"/>
      </w:pPr>
      <w:rPr>
        <w:b/>
        <w:bCs/>
        <w:color w:val="FFFFFF" w:themeColor="background1"/>
      </w:rPr>
      <w:tblPr/>
      <w:tcPr>
        <w:shd w:val="clear" w:color="auto" w:fill="F56600" w:themeFill="accent2"/>
      </w:tcPr>
    </w:tblStylePr>
    <w:tblStylePr w:type="lastRow">
      <w:pPr>
        <w:spacing w:before="0" w:after="0" w:line="240" w:lineRule="auto"/>
      </w:pPr>
      <w:rPr>
        <w:b/>
        <w:bCs/>
      </w:rPr>
      <w:tblPr/>
      <w:tcPr>
        <w:tcBorders>
          <w:top w:val="double" w:sz="6" w:space="0" w:color="F56600" w:themeColor="accent2"/>
          <w:left w:val="single" w:sz="8" w:space="0" w:color="F56600" w:themeColor="accent2"/>
          <w:bottom w:val="single" w:sz="8" w:space="0" w:color="F56600" w:themeColor="accent2"/>
          <w:right w:val="single" w:sz="8" w:space="0" w:color="F56600" w:themeColor="accent2"/>
        </w:tcBorders>
      </w:tcPr>
    </w:tblStylePr>
    <w:tblStylePr w:type="firstCol">
      <w:rPr>
        <w:b/>
        <w:bCs/>
      </w:rPr>
    </w:tblStylePr>
    <w:tblStylePr w:type="lastCol">
      <w:rPr>
        <w:b/>
        <w:bCs/>
      </w:rPr>
    </w:tblStylePr>
    <w:tblStylePr w:type="band1Vert">
      <w:tblPr/>
      <w:tcPr>
        <w:tcBorders>
          <w:top w:val="single" w:sz="8" w:space="0" w:color="F56600" w:themeColor="accent2"/>
          <w:left w:val="single" w:sz="8" w:space="0" w:color="F56600" w:themeColor="accent2"/>
          <w:bottom w:val="single" w:sz="8" w:space="0" w:color="F56600" w:themeColor="accent2"/>
          <w:right w:val="single" w:sz="8" w:space="0" w:color="F56600" w:themeColor="accent2"/>
        </w:tcBorders>
      </w:tcPr>
    </w:tblStylePr>
    <w:tblStylePr w:type="band1Horz">
      <w:tblPr/>
      <w:tcPr>
        <w:tcBorders>
          <w:top w:val="single" w:sz="8" w:space="0" w:color="F56600" w:themeColor="accent2"/>
          <w:left w:val="single" w:sz="8" w:space="0" w:color="F56600" w:themeColor="accent2"/>
          <w:bottom w:val="single" w:sz="8" w:space="0" w:color="F56600" w:themeColor="accent2"/>
          <w:right w:val="single" w:sz="8" w:space="0" w:color="F56600" w:themeColor="accent2"/>
        </w:tcBorders>
      </w:tcPr>
    </w:tblStylePr>
  </w:style>
  <w:style w:type="table" w:styleId="Sombreadomedio1-nfasis2">
    <w:name w:val="Medium Shading 1 Accent 2"/>
    <w:aliases w:val="Bankinter Pijama"/>
    <w:basedOn w:val="Tablanormal"/>
    <w:uiPriority w:val="63"/>
    <w:rsid w:val="00130076"/>
    <w:pPr>
      <w:spacing w:after="0" w:line="240" w:lineRule="auto"/>
    </w:pPr>
    <w:tblPr>
      <w:tblStyleRowBandSize w:val="1"/>
      <w:tblStyleColBandSize w:val="1"/>
      <w:tblBorders>
        <w:top w:val="single" w:sz="8" w:space="0" w:color="FF8A38" w:themeColor="accent2" w:themeTint="BF"/>
        <w:left w:val="single" w:sz="8" w:space="0" w:color="FF8A38" w:themeColor="accent2" w:themeTint="BF"/>
        <w:bottom w:val="single" w:sz="8" w:space="0" w:color="FF8A38" w:themeColor="accent2" w:themeTint="BF"/>
        <w:right w:val="single" w:sz="8" w:space="0" w:color="FF8A38" w:themeColor="accent2" w:themeTint="BF"/>
        <w:insideH w:val="single" w:sz="8" w:space="0" w:color="FF8A38" w:themeColor="accent2" w:themeTint="BF"/>
      </w:tblBorders>
    </w:tblPr>
    <w:tblStylePr w:type="firstRow">
      <w:pPr>
        <w:spacing w:before="0" w:after="0" w:line="240" w:lineRule="auto"/>
      </w:pPr>
      <w:rPr>
        <w:b/>
        <w:bCs/>
        <w:color w:val="FFFFFF" w:themeColor="background1"/>
      </w:rPr>
      <w:tblPr/>
      <w:tcPr>
        <w:tcBorders>
          <w:top w:val="single" w:sz="8" w:space="0" w:color="FF8A38" w:themeColor="accent2" w:themeTint="BF"/>
          <w:left w:val="single" w:sz="8" w:space="0" w:color="FF8A38" w:themeColor="accent2" w:themeTint="BF"/>
          <w:bottom w:val="single" w:sz="8" w:space="0" w:color="FF8A38" w:themeColor="accent2" w:themeTint="BF"/>
          <w:right w:val="single" w:sz="8" w:space="0" w:color="FF8A38" w:themeColor="accent2" w:themeTint="BF"/>
          <w:insideH w:val="nil"/>
          <w:insideV w:val="nil"/>
        </w:tcBorders>
        <w:shd w:val="clear" w:color="auto" w:fill="F56600" w:themeFill="accent2"/>
      </w:tcPr>
    </w:tblStylePr>
    <w:tblStylePr w:type="lastRow">
      <w:pPr>
        <w:spacing w:before="0" w:after="0" w:line="240" w:lineRule="auto"/>
      </w:pPr>
      <w:rPr>
        <w:b/>
        <w:bCs/>
      </w:rPr>
      <w:tblPr/>
      <w:tcPr>
        <w:tcBorders>
          <w:top w:val="double" w:sz="6" w:space="0" w:color="FF8A38" w:themeColor="accent2" w:themeTint="BF"/>
          <w:left w:val="single" w:sz="8" w:space="0" w:color="FF8A38" w:themeColor="accent2" w:themeTint="BF"/>
          <w:bottom w:val="single" w:sz="8" w:space="0" w:color="FF8A38" w:themeColor="accent2" w:themeTint="BF"/>
          <w:right w:val="single" w:sz="8" w:space="0" w:color="FF8A38"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D8BD" w:themeFill="accent2" w:themeFillTint="3F"/>
      </w:tcPr>
    </w:tblStylePr>
    <w:tblStylePr w:type="band1Horz">
      <w:tblPr/>
      <w:tcPr>
        <w:tcBorders>
          <w:insideH w:val="nil"/>
          <w:insideV w:val="nil"/>
        </w:tcBorders>
        <w:shd w:val="clear" w:color="auto" w:fill="FFD8BD" w:themeFill="accent2" w:themeFillTint="3F"/>
      </w:tcPr>
    </w:tblStylePr>
    <w:tblStylePr w:type="band2Horz">
      <w:tblPr/>
      <w:tcPr>
        <w:tcBorders>
          <w:insideH w:val="nil"/>
          <w:insideV w:val="nil"/>
        </w:tcBorders>
      </w:tcPr>
    </w:tblStylePr>
  </w:style>
  <w:style w:type="table" w:styleId="Sombreadomedio2-nfasis2">
    <w:name w:val="Medium Shading 2 Accent 2"/>
    <w:basedOn w:val="Tablanormal"/>
    <w:uiPriority w:val="64"/>
    <w:rsid w:val="00130076"/>
    <w:pPr>
      <w:spacing w:after="0" w:line="240" w:lineRule="auto"/>
    </w:pPr>
    <w:tblPr>
      <w:tblStyleRowBandSize w:val="1"/>
      <w:tblStyleColBandSize w:val="1"/>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566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56600" w:themeFill="accent2"/>
      </w:tcPr>
    </w:tblStylePr>
    <w:tblStylePr w:type="lastCol">
      <w:rPr>
        <w:b/>
        <w:bCs/>
        <w:color w:val="FFFFFF" w:themeColor="background1"/>
      </w:rPr>
      <w:tblPr/>
      <w:tcPr>
        <w:tcBorders>
          <w:left w:val="nil"/>
          <w:right w:val="nil"/>
          <w:insideH w:val="nil"/>
          <w:insideV w:val="nil"/>
        </w:tcBorders>
        <w:shd w:val="clear" w:color="auto" w:fill="F566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Encabezado">
    <w:name w:val="header"/>
    <w:basedOn w:val="Normal"/>
    <w:link w:val="EncabezadoCar"/>
    <w:uiPriority w:val="99"/>
    <w:unhideWhenUsed/>
    <w:rsid w:val="00A2498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2498F"/>
  </w:style>
  <w:style w:type="paragraph" w:styleId="Piedepgina">
    <w:name w:val="footer"/>
    <w:basedOn w:val="Normal"/>
    <w:link w:val="PiedepginaCar"/>
    <w:uiPriority w:val="99"/>
    <w:unhideWhenUsed/>
    <w:rsid w:val="00A2498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2498F"/>
  </w:style>
  <w:style w:type="paragraph" w:styleId="Textodeglobo">
    <w:name w:val="Balloon Text"/>
    <w:basedOn w:val="Normal"/>
    <w:link w:val="TextodegloboCar"/>
    <w:uiPriority w:val="99"/>
    <w:semiHidden/>
    <w:unhideWhenUsed/>
    <w:rsid w:val="00A2498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98F"/>
    <w:rPr>
      <w:rFonts w:ascii="Tahoma" w:hAnsi="Tahoma" w:cs="Tahoma"/>
      <w:sz w:val="16"/>
      <w:szCs w:val="16"/>
    </w:rPr>
  </w:style>
  <w:style w:type="paragraph" w:styleId="Textocomentario">
    <w:name w:val="annotation text"/>
    <w:basedOn w:val="Normal"/>
    <w:link w:val="TextocomentarioCar"/>
    <w:uiPriority w:val="99"/>
    <w:unhideWhenUsed/>
    <w:rsid w:val="00430C42"/>
    <w:pPr>
      <w:spacing w:after="0" w:line="240" w:lineRule="auto"/>
    </w:pPr>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430C42"/>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C3024B"/>
    <w:pPr>
      <w:spacing w:after="0" w:line="240" w:lineRule="auto"/>
      <w:ind w:left="720"/>
    </w:pPr>
    <w:rPr>
      <w:rFonts w:ascii="Calibri" w:eastAsiaTheme="minorHAnsi" w:hAnsi="Calibri" w:cs="Times New Roman"/>
      <w:lang w:val="es-ES_tradnl" w:eastAsia="es-ES_tradnl"/>
    </w:rPr>
  </w:style>
  <w:style w:type="table" w:customStyle="1" w:styleId="BankinterPijama1">
    <w:name w:val="Bankinter Pijama1"/>
    <w:basedOn w:val="Tablanormal"/>
    <w:next w:val="Sombreadomedio1-nfasis2"/>
    <w:uiPriority w:val="63"/>
    <w:rsid w:val="00DD00EE"/>
    <w:pPr>
      <w:spacing w:after="0" w:line="240" w:lineRule="auto"/>
    </w:pPr>
    <w:rPr>
      <w:rFonts w:eastAsia="Times New Roman"/>
    </w:rPr>
    <w:tblPr>
      <w:tblStyleRowBandSize w:val="1"/>
      <w:tblStyleColBandSize w:val="1"/>
      <w:tblBorders>
        <w:top w:val="single" w:sz="8" w:space="0" w:color="FF8A38"/>
        <w:left w:val="single" w:sz="8" w:space="0" w:color="FF8A38"/>
        <w:bottom w:val="single" w:sz="8" w:space="0" w:color="FF8A38"/>
        <w:right w:val="single" w:sz="8" w:space="0" w:color="FF8A38"/>
        <w:insideH w:val="single" w:sz="8" w:space="0" w:color="FF8A38"/>
      </w:tblBorders>
    </w:tblPr>
    <w:tblStylePr w:type="firstRow">
      <w:pPr>
        <w:spacing w:before="0" w:after="0" w:line="240" w:lineRule="auto"/>
      </w:pPr>
      <w:rPr>
        <w:b/>
        <w:bCs/>
        <w:color w:val="FFFFFF"/>
      </w:rPr>
      <w:tblPr/>
      <w:tcPr>
        <w:tcBorders>
          <w:top w:val="single" w:sz="8" w:space="0" w:color="FF8A38"/>
          <w:left w:val="single" w:sz="8" w:space="0" w:color="FF8A38"/>
          <w:bottom w:val="single" w:sz="8" w:space="0" w:color="FF8A38"/>
          <w:right w:val="single" w:sz="8" w:space="0" w:color="FF8A38"/>
          <w:insideH w:val="nil"/>
          <w:insideV w:val="nil"/>
        </w:tcBorders>
        <w:shd w:val="clear" w:color="auto" w:fill="F56600"/>
      </w:tcPr>
    </w:tblStylePr>
    <w:tblStylePr w:type="lastRow">
      <w:pPr>
        <w:spacing w:before="0" w:after="0" w:line="240" w:lineRule="auto"/>
      </w:pPr>
      <w:rPr>
        <w:b/>
        <w:bCs/>
      </w:rPr>
      <w:tblPr/>
      <w:tcPr>
        <w:tcBorders>
          <w:top w:val="double" w:sz="6" w:space="0" w:color="FF8A38"/>
          <w:left w:val="single" w:sz="8" w:space="0" w:color="FF8A38"/>
          <w:bottom w:val="single" w:sz="8" w:space="0" w:color="FF8A38"/>
          <w:right w:val="single" w:sz="8" w:space="0" w:color="FF8A38"/>
          <w:insideH w:val="nil"/>
          <w:insideV w:val="nil"/>
        </w:tcBorders>
      </w:tcPr>
    </w:tblStylePr>
    <w:tblStylePr w:type="firstCol">
      <w:rPr>
        <w:b/>
        <w:bCs/>
      </w:rPr>
    </w:tblStylePr>
    <w:tblStylePr w:type="lastCol">
      <w:rPr>
        <w:b/>
        <w:bCs/>
      </w:rPr>
    </w:tblStylePr>
    <w:tblStylePr w:type="band1Vert">
      <w:tblPr/>
      <w:tcPr>
        <w:shd w:val="clear" w:color="auto" w:fill="FFD8BD"/>
      </w:tcPr>
    </w:tblStylePr>
    <w:tblStylePr w:type="band1Horz">
      <w:tblPr/>
      <w:tcPr>
        <w:tcBorders>
          <w:insideH w:val="nil"/>
          <w:insideV w:val="nil"/>
        </w:tcBorders>
        <w:shd w:val="clear" w:color="auto" w:fill="FFD8BD"/>
      </w:tcPr>
    </w:tblStylePr>
    <w:tblStylePr w:type="band2Horz">
      <w:tblPr/>
      <w:tcPr>
        <w:tcBorders>
          <w:insideH w:val="nil"/>
          <w:insideV w:val="nil"/>
        </w:tcBorders>
      </w:tcPr>
    </w:tblStylePr>
  </w:style>
  <w:style w:type="character" w:styleId="Refdecomentario">
    <w:name w:val="annotation reference"/>
    <w:basedOn w:val="Fuentedeprrafopredeter"/>
    <w:uiPriority w:val="99"/>
    <w:semiHidden/>
    <w:unhideWhenUsed/>
    <w:rsid w:val="00D05718"/>
    <w:rPr>
      <w:sz w:val="16"/>
      <w:szCs w:val="16"/>
    </w:rPr>
  </w:style>
  <w:style w:type="paragraph" w:styleId="Asuntodelcomentario">
    <w:name w:val="annotation subject"/>
    <w:basedOn w:val="Textocomentario"/>
    <w:next w:val="Textocomentario"/>
    <w:link w:val="AsuntodelcomentarioCar"/>
    <w:uiPriority w:val="99"/>
    <w:semiHidden/>
    <w:unhideWhenUsed/>
    <w:rsid w:val="00D05718"/>
    <w:pPr>
      <w:spacing w:after="200"/>
    </w:pPr>
    <w:rPr>
      <w:rFonts w:asciiTheme="minorHAnsi" w:eastAsiaTheme="minorEastAsia" w:hAnsiTheme="minorHAnsi" w:cstheme="minorBidi"/>
      <w:b/>
      <w:bCs/>
    </w:rPr>
  </w:style>
  <w:style w:type="character" w:customStyle="1" w:styleId="AsuntodelcomentarioCar">
    <w:name w:val="Asunto del comentario Car"/>
    <w:basedOn w:val="TextocomentarioCar"/>
    <w:link w:val="Asuntodelcomentario"/>
    <w:uiPriority w:val="99"/>
    <w:semiHidden/>
    <w:rsid w:val="00D05718"/>
    <w:rPr>
      <w:rFonts w:ascii="Times New Roman" w:eastAsia="Times New Roman" w:hAnsi="Times New Roman" w:cs="Times New Roman"/>
      <w:b/>
      <w:bCs/>
      <w:sz w:val="20"/>
      <w:szCs w:val="20"/>
      <w:lang w:eastAsia="es-ES"/>
    </w:rPr>
  </w:style>
  <w:style w:type="paragraph" w:styleId="NormalWeb">
    <w:name w:val="Normal (Web)"/>
    <w:basedOn w:val="Normal"/>
    <w:uiPriority w:val="99"/>
    <w:semiHidden/>
    <w:unhideWhenUsed/>
    <w:rsid w:val="00B44BA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9705">
      <w:bodyDiv w:val="1"/>
      <w:marLeft w:val="0"/>
      <w:marRight w:val="0"/>
      <w:marTop w:val="0"/>
      <w:marBottom w:val="0"/>
      <w:divBdr>
        <w:top w:val="none" w:sz="0" w:space="0" w:color="auto"/>
        <w:left w:val="none" w:sz="0" w:space="0" w:color="auto"/>
        <w:bottom w:val="none" w:sz="0" w:space="0" w:color="auto"/>
        <w:right w:val="none" w:sz="0" w:space="0" w:color="auto"/>
      </w:divBdr>
    </w:div>
    <w:div w:id="206795099">
      <w:bodyDiv w:val="1"/>
      <w:marLeft w:val="0"/>
      <w:marRight w:val="0"/>
      <w:marTop w:val="0"/>
      <w:marBottom w:val="0"/>
      <w:divBdr>
        <w:top w:val="none" w:sz="0" w:space="0" w:color="auto"/>
        <w:left w:val="none" w:sz="0" w:space="0" w:color="auto"/>
        <w:bottom w:val="none" w:sz="0" w:space="0" w:color="auto"/>
        <w:right w:val="none" w:sz="0" w:space="0" w:color="auto"/>
      </w:divBdr>
    </w:div>
    <w:div w:id="214238020">
      <w:bodyDiv w:val="1"/>
      <w:marLeft w:val="0"/>
      <w:marRight w:val="0"/>
      <w:marTop w:val="0"/>
      <w:marBottom w:val="0"/>
      <w:divBdr>
        <w:top w:val="none" w:sz="0" w:space="0" w:color="auto"/>
        <w:left w:val="none" w:sz="0" w:space="0" w:color="auto"/>
        <w:bottom w:val="none" w:sz="0" w:space="0" w:color="auto"/>
        <w:right w:val="none" w:sz="0" w:space="0" w:color="auto"/>
      </w:divBdr>
    </w:div>
    <w:div w:id="427847061">
      <w:bodyDiv w:val="1"/>
      <w:marLeft w:val="0"/>
      <w:marRight w:val="0"/>
      <w:marTop w:val="0"/>
      <w:marBottom w:val="0"/>
      <w:divBdr>
        <w:top w:val="none" w:sz="0" w:space="0" w:color="auto"/>
        <w:left w:val="none" w:sz="0" w:space="0" w:color="auto"/>
        <w:bottom w:val="none" w:sz="0" w:space="0" w:color="auto"/>
        <w:right w:val="none" w:sz="0" w:space="0" w:color="auto"/>
      </w:divBdr>
    </w:div>
    <w:div w:id="523321463">
      <w:bodyDiv w:val="1"/>
      <w:marLeft w:val="0"/>
      <w:marRight w:val="0"/>
      <w:marTop w:val="0"/>
      <w:marBottom w:val="0"/>
      <w:divBdr>
        <w:top w:val="none" w:sz="0" w:space="0" w:color="auto"/>
        <w:left w:val="none" w:sz="0" w:space="0" w:color="auto"/>
        <w:bottom w:val="none" w:sz="0" w:space="0" w:color="auto"/>
        <w:right w:val="none" w:sz="0" w:space="0" w:color="auto"/>
      </w:divBdr>
    </w:div>
    <w:div w:id="816730755">
      <w:bodyDiv w:val="1"/>
      <w:marLeft w:val="0"/>
      <w:marRight w:val="0"/>
      <w:marTop w:val="0"/>
      <w:marBottom w:val="0"/>
      <w:divBdr>
        <w:top w:val="none" w:sz="0" w:space="0" w:color="auto"/>
        <w:left w:val="none" w:sz="0" w:space="0" w:color="auto"/>
        <w:bottom w:val="none" w:sz="0" w:space="0" w:color="auto"/>
        <w:right w:val="none" w:sz="0" w:space="0" w:color="auto"/>
      </w:divBdr>
    </w:div>
    <w:div w:id="832912892">
      <w:bodyDiv w:val="1"/>
      <w:marLeft w:val="0"/>
      <w:marRight w:val="0"/>
      <w:marTop w:val="0"/>
      <w:marBottom w:val="0"/>
      <w:divBdr>
        <w:top w:val="none" w:sz="0" w:space="0" w:color="auto"/>
        <w:left w:val="none" w:sz="0" w:space="0" w:color="auto"/>
        <w:bottom w:val="none" w:sz="0" w:space="0" w:color="auto"/>
        <w:right w:val="none" w:sz="0" w:space="0" w:color="auto"/>
      </w:divBdr>
    </w:div>
    <w:div w:id="1019967517">
      <w:bodyDiv w:val="1"/>
      <w:marLeft w:val="0"/>
      <w:marRight w:val="0"/>
      <w:marTop w:val="0"/>
      <w:marBottom w:val="0"/>
      <w:divBdr>
        <w:top w:val="none" w:sz="0" w:space="0" w:color="auto"/>
        <w:left w:val="none" w:sz="0" w:space="0" w:color="auto"/>
        <w:bottom w:val="none" w:sz="0" w:space="0" w:color="auto"/>
        <w:right w:val="none" w:sz="0" w:space="0" w:color="auto"/>
      </w:divBdr>
    </w:div>
    <w:div w:id="1137184055">
      <w:bodyDiv w:val="1"/>
      <w:marLeft w:val="0"/>
      <w:marRight w:val="0"/>
      <w:marTop w:val="0"/>
      <w:marBottom w:val="0"/>
      <w:divBdr>
        <w:top w:val="none" w:sz="0" w:space="0" w:color="auto"/>
        <w:left w:val="none" w:sz="0" w:space="0" w:color="auto"/>
        <w:bottom w:val="none" w:sz="0" w:space="0" w:color="auto"/>
        <w:right w:val="none" w:sz="0" w:space="0" w:color="auto"/>
      </w:divBdr>
    </w:div>
    <w:div w:id="1202135671">
      <w:bodyDiv w:val="1"/>
      <w:marLeft w:val="0"/>
      <w:marRight w:val="0"/>
      <w:marTop w:val="0"/>
      <w:marBottom w:val="0"/>
      <w:divBdr>
        <w:top w:val="none" w:sz="0" w:space="0" w:color="auto"/>
        <w:left w:val="none" w:sz="0" w:space="0" w:color="auto"/>
        <w:bottom w:val="none" w:sz="0" w:space="0" w:color="auto"/>
        <w:right w:val="none" w:sz="0" w:space="0" w:color="auto"/>
      </w:divBdr>
    </w:div>
    <w:div w:id="1211192585">
      <w:bodyDiv w:val="1"/>
      <w:marLeft w:val="0"/>
      <w:marRight w:val="0"/>
      <w:marTop w:val="0"/>
      <w:marBottom w:val="0"/>
      <w:divBdr>
        <w:top w:val="none" w:sz="0" w:space="0" w:color="auto"/>
        <w:left w:val="none" w:sz="0" w:space="0" w:color="auto"/>
        <w:bottom w:val="none" w:sz="0" w:space="0" w:color="auto"/>
        <w:right w:val="none" w:sz="0" w:space="0" w:color="auto"/>
      </w:divBdr>
    </w:div>
    <w:div w:id="1407726429">
      <w:bodyDiv w:val="1"/>
      <w:marLeft w:val="0"/>
      <w:marRight w:val="0"/>
      <w:marTop w:val="0"/>
      <w:marBottom w:val="0"/>
      <w:divBdr>
        <w:top w:val="none" w:sz="0" w:space="0" w:color="auto"/>
        <w:left w:val="none" w:sz="0" w:space="0" w:color="auto"/>
        <w:bottom w:val="none" w:sz="0" w:space="0" w:color="auto"/>
        <w:right w:val="none" w:sz="0" w:space="0" w:color="auto"/>
      </w:divBdr>
    </w:div>
    <w:div w:id="1669792656">
      <w:bodyDiv w:val="1"/>
      <w:marLeft w:val="0"/>
      <w:marRight w:val="0"/>
      <w:marTop w:val="0"/>
      <w:marBottom w:val="0"/>
      <w:divBdr>
        <w:top w:val="none" w:sz="0" w:space="0" w:color="auto"/>
        <w:left w:val="none" w:sz="0" w:space="0" w:color="auto"/>
        <w:bottom w:val="none" w:sz="0" w:space="0" w:color="auto"/>
        <w:right w:val="none" w:sz="0" w:space="0" w:color="auto"/>
      </w:divBdr>
    </w:div>
    <w:div w:id="1708752031">
      <w:bodyDiv w:val="1"/>
      <w:marLeft w:val="0"/>
      <w:marRight w:val="0"/>
      <w:marTop w:val="0"/>
      <w:marBottom w:val="0"/>
      <w:divBdr>
        <w:top w:val="none" w:sz="0" w:space="0" w:color="auto"/>
        <w:left w:val="none" w:sz="0" w:space="0" w:color="auto"/>
        <w:bottom w:val="none" w:sz="0" w:space="0" w:color="auto"/>
        <w:right w:val="none" w:sz="0" w:space="0" w:color="auto"/>
      </w:divBdr>
      <w:divsChild>
        <w:div w:id="24527939">
          <w:marLeft w:val="1166"/>
          <w:marRight w:val="0"/>
          <w:marTop w:val="60"/>
          <w:marBottom w:val="0"/>
          <w:divBdr>
            <w:top w:val="none" w:sz="0" w:space="0" w:color="auto"/>
            <w:left w:val="none" w:sz="0" w:space="0" w:color="auto"/>
            <w:bottom w:val="none" w:sz="0" w:space="0" w:color="auto"/>
            <w:right w:val="none" w:sz="0" w:space="0" w:color="auto"/>
          </w:divBdr>
        </w:div>
        <w:div w:id="510417202">
          <w:marLeft w:val="1166"/>
          <w:marRight w:val="0"/>
          <w:marTop w:val="60"/>
          <w:marBottom w:val="0"/>
          <w:divBdr>
            <w:top w:val="none" w:sz="0" w:space="0" w:color="auto"/>
            <w:left w:val="none" w:sz="0" w:space="0" w:color="auto"/>
            <w:bottom w:val="none" w:sz="0" w:space="0" w:color="auto"/>
            <w:right w:val="none" w:sz="0" w:space="0" w:color="auto"/>
          </w:divBdr>
        </w:div>
      </w:divsChild>
    </w:div>
    <w:div w:id="1735546335">
      <w:bodyDiv w:val="1"/>
      <w:marLeft w:val="0"/>
      <w:marRight w:val="0"/>
      <w:marTop w:val="0"/>
      <w:marBottom w:val="0"/>
      <w:divBdr>
        <w:top w:val="none" w:sz="0" w:space="0" w:color="auto"/>
        <w:left w:val="none" w:sz="0" w:space="0" w:color="auto"/>
        <w:bottom w:val="none" w:sz="0" w:space="0" w:color="auto"/>
        <w:right w:val="none" w:sz="0" w:space="0" w:color="auto"/>
      </w:divBdr>
    </w:div>
    <w:div w:id="1771120448">
      <w:bodyDiv w:val="1"/>
      <w:marLeft w:val="0"/>
      <w:marRight w:val="0"/>
      <w:marTop w:val="0"/>
      <w:marBottom w:val="0"/>
      <w:divBdr>
        <w:top w:val="none" w:sz="0" w:space="0" w:color="auto"/>
        <w:left w:val="none" w:sz="0" w:space="0" w:color="auto"/>
        <w:bottom w:val="none" w:sz="0" w:space="0" w:color="auto"/>
        <w:right w:val="none" w:sz="0" w:space="0" w:color="auto"/>
      </w:divBdr>
    </w:div>
    <w:div w:id="1841694613">
      <w:bodyDiv w:val="1"/>
      <w:marLeft w:val="0"/>
      <w:marRight w:val="0"/>
      <w:marTop w:val="0"/>
      <w:marBottom w:val="0"/>
      <w:divBdr>
        <w:top w:val="none" w:sz="0" w:space="0" w:color="auto"/>
        <w:left w:val="none" w:sz="0" w:space="0" w:color="auto"/>
        <w:bottom w:val="none" w:sz="0" w:space="0" w:color="auto"/>
        <w:right w:val="none" w:sz="0" w:space="0" w:color="auto"/>
      </w:divBdr>
    </w:div>
    <w:div w:id="2010012286">
      <w:bodyDiv w:val="1"/>
      <w:marLeft w:val="0"/>
      <w:marRight w:val="0"/>
      <w:marTop w:val="0"/>
      <w:marBottom w:val="0"/>
      <w:divBdr>
        <w:top w:val="none" w:sz="0" w:space="0" w:color="auto"/>
        <w:left w:val="none" w:sz="0" w:space="0" w:color="auto"/>
        <w:bottom w:val="none" w:sz="0" w:space="0" w:color="auto"/>
        <w:right w:val="none" w:sz="0" w:space="0" w:color="auto"/>
      </w:divBdr>
    </w:div>
    <w:div w:id="214167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bankinter">
  <a:themeElements>
    <a:clrScheme name="Bankinter">
      <a:dk1>
        <a:srgbClr val="000000"/>
      </a:dk1>
      <a:lt1>
        <a:srgbClr val="FFFFFF"/>
      </a:lt1>
      <a:dk2>
        <a:srgbClr val="F56600"/>
      </a:dk2>
      <a:lt2>
        <a:srgbClr val="B5D9DE"/>
      </a:lt2>
      <a:accent1>
        <a:srgbClr val="FFFF99"/>
      </a:accent1>
      <a:accent2>
        <a:srgbClr val="F56600"/>
      </a:accent2>
      <a:accent3>
        <a:srgbClr val="FFFFFF"/>
      </a:accent3>
      <a:accent4>
        <a:srgbClr val="B5D9DE"/>
      </a:accent4>
      <a:accent5>
        <a:srgbClr val="000000"/>
      </a:accent5>
      <a:accent6>
        <a:srgbClr val="D2E8EB"/>
      </a:accent6>
      <a:hlink>
        <a:srgbClr val="F56600"/>
      </a:hlink>
      <a:folHlink>
        <a:srgbClr val="63544A"/>
      </a:folHlink>
    </a:clrScheme>
    <a:fontScheme name="Bankinter">
      <a:majorFont>
        <a:latin typeface="Bankinter"/>
        <a:ea typeface=""/>
        <a:cs typeface=""/>
      </a:majorFont>
      <a:minorFont>
        <a:latin typeface="Bankinter"/>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1447</Words>
  <Characters>7963</Characters>
  <Application>Microsoft Office Word</Application>
  <DocSecurity>0</DocSecurity>
  <Lines>66</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Marca</vt:lpstr>
      <vt:lpstr>Marca</vt:lpstr>
    </vt:vector>
  </TitlesOfParts>
  <Company>Bankinter</Company>
  <LinksUpToDate>false</LinksUpToDate>
  <CharactersWithSpaces>9392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dc:title>
  <dc:creator>Bankinter</dc:creator>
  <cp:lastModifiedBy>Ana Ramirez Cogollor</cp:lastModifiedBy>
  <cp:revision>2</cp:revision>
  <cp:lastPrinted>2016-07-20T09:11:00Z</cp:lastPrinted>
  <dcterms:created xsi:type="dcterms:W3CDTF">2017-04-27T05:53:00Z</dcterms:created>
  <dcterms:modified xsi:type="dcterms:W3CDTF">2017-04-27T05:53:00Z</dcterms:modified>
</cp:coreProperties>
</file>