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307" w:rsidRPr="006B4D9A" w:rsidRDefault="00AC3307" w:rsidP="00964F43"/>
    <w:p w:rsidR="00AC3307" w:rsidRPr="00D2144B" w:rsidRDefault="00AC3307" w:rsidP="00D21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17365D"/>
        <w:jc w:val="center"/>
        <w:rPr>
          <w:b/>
          <w:color w:val="FFFFFF"/>
        </w:rPr>
      </w:pPr>
    </w:p>
    <w:p w:rsidR="00AC3307" w:rsidRPr="00D2144B" w:rsidRDefault="00AC3307" w:rsidP="00D21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17365D"/>
        <w:jc w:val="center"/>
        <w:rPr>
          <w:b/>
          <w:color w:val="FFFFFF"/>
        </w:rPr>
      </w:pPr>
      <w:r>
        <w:rPr>
          <w:b/>
          <w:color w:val="FFFFFF"/>
        </w:rPr>
        <w:t xml:space="preserve">Informe de Gestión </w:t>
      </w:r>
      <w:r w:rsidRPr="00D2144B">
        <w:rPr>
          <w:b/>
          <w:color w:val="FFFFFF"/>
        </w:rPr>
        <w:t xml:space="preserve">1er. </w:t>
      </w:r>
      <w:r>
        <w:rPr>
          <w:b/>
          <w:color w:val="FFFFFF"/>
        </w:rPr>
        <w:t>Semestre</w:t>
      </w:r>
      <w:r w:rsidRPr="00D2144B">
        <w:rPr>
          <w:b/>
          <w:color w:val="FFFFFF"/>
        </w:rPr>
        <w:t xml:space="preserve"> 2010</w:t>
      </w:r>
    </w:p>
    <w:p w:rsidR="00AC3307" w:rsidRPr="00D2144B" w:rsidRDefault="00AC3307" w:rsidP="00D21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17365D"/>
        <w:jc w:val="center"/>
        <w:rPr>
          <w:b/>
          <w:color w:val="FFFFFF"/>
        </w:rPr>
      </w:pPr>
    </w:p>
    <w:p w:rsidR="00AC3307" w:rsidRPr="006B4D9A" w:rsidRDefault="00AC3307" w:rsidP="00194211">
      <w:pPr>
        <w:jc w:val="center"/>
        <w:rPr>
          <w:b/>
          <w:u w:val="single"/>
        </w:rPr>
      </w:pPr>
    </w:p>
    <w:p w:rsidR="00AC3307" w:rsidRPr="006B4D9A" w:rsidRDefault="00AC3307" w:rsidP="00964F43"/>
    <w:p w:rsidR="00AC3307" w:rsidRPr="001C0B70" w:rsidRDefault="00AC3307" w:rsidP="00667295">
      <w:pPr>
        <w:jc w:val="both"/>
        <w:rPr>
          <w:rFonts w:ascii="Comic Sans MS" w:hAnsi="Comic Sans MS"/>
          <w:b/>
          <w:u w:val="single"/>
        </w:rPr>
      </w:pPr>
      <w:r w:rsidRPr="001C0B70">
        <w:rPr>
          <w:rFonts w:ascii="Comic Sans MS" w:hAnsi="Comic Sans MS"/>
          <w:b/>
          <w:u w:val="single"/>
        </w:rPr>
        <w:t>Actividad Individual</w:t>
      </w:r>
    </w:p>
    <w:p w:rsidR="00AC3307" w:rsidRPr="001C0B70" w:rsidRDefault="00AC3307" w:rsidP="00667295">
      <w:pPr>
        <w:jc w:val="both"/>
        <w:rPr>
          <w:rFonts w:ascii="Comic Sans MS" w:hAnsi="Comic Sans MS"/>
        </w:rPr>
      </w:pPr>
    </w:p>
    <w:p w:rsidR="00AC3307" w:rsidRPr="001C0B70" w:rsidRDefault="00AC3307" w:rsidP="00667295">
      <w:pPr>
        <w:jc w:val="both"/>
        <w:rPr>
          <w:rFonts w:ascii="Comic Sans MS" w:hAnsi="Comic Sans MS"/>
        </w:rPr>
      </w:pPr>
      <w:r w:rsidRPr="001C0B70">
        <w:rPr>
          <w:rFonts w:ascii="Comic Sans MS" w:hAnsi="Comic Sans MS"/>
        </w:rPr>
        <w:t xml:space="preserve">Durante el primer semestre del 2010, Urbar Ingenieros SA ha mejorado de manera significativa </w:t>
      </w:r>
      <w:r>
        <w:rPr>
          <w:rFonts w:ascii="Comic Sans MS" w:hAnsi="Comic Sans MS"/>
        </w:rPr>
        <w:t>los</w:t>
      </w:r>
      <w:r w:rsidRPr="001C0B70">
        <w:rPr>
          <w:rFonts w:ascii="Comic Sans MS" w:hAnsi="Comic Sans MS"/>
        </w:rPr>
        <w:t xml:space="preserve"> ingresos respecto del año anterior</w:t>
      </w:r>
      <w:r>
        <w:rPr>
          <w:rFonts w:ascii="Comic Sans MS" w:hAnsi="Comic Sans MS"/>
        </w:rPr>
        <w:t>, con un aumento del</w:t>
      </w:r>
      <w:r w:rsidRPr="001C0B70">
        <w:rPr>
          <w:rFonts w:ascii="Comic Sans MS" w:hAnsi="Comic Sans MS"/>
        </w:rPr>
        <w:t xml:space="preserve"> 33%. Esta evolución favorable se ha trasladado a los resultados del periodo con un </w:t>
      </w:r>
      <w:r>
        <w:rPr>
          <w:rFonts w:ascii="Comic Sans MS" w:hAnsi="Comic Sans MS"/>
        </w:rPr>
        <w:t>incremento</w:t>
      </w:r>
      <w:r w:rsidRPr="001C0B70">
        <w:rPr>
          <w:rFonts w:ascii="Comic Sans MS" w:hAnsi="Comic Sans MS"/>
        </w:rPr>
        <w:t xml:space="preserve"> respecto del 2009 de un 113%.</w:t>
      </w:r>
    </w:p>
    <w:p w:rsidR="00AC3307" w:rsidRPr="001C0B70" w:rsidRDefault="00AC3307" w:rsidP="00667295">
      <w:pPr>
        <w:jc w:val="both"/>
        <w:rPr>
          <w:rFonts w:ascii="Comic Sans MS" w:hAnsi="Comic Sans MS"/>
        </w:rPr>
      </w:pPr>
    </w:p>
    <w:p w:rsidR="00AC3307" w:rsidRPr="001C0B70" w:rsidRDefault="00AC3307" w:rsidP="00667295">
      <w:pPr>
        <w:jc w:val="both"/>
        <w:rPr>
          <w:rFonts w:ascii="Comic Sans MS" w:hAnsi="Comic Sans MS"/>
        </w:rPr>
      </w:pPr>
      <w:r w:rsidRPr="001C0B70">
        <w:rPr>
          <w:rFonts w:ascii="Comic Sans MS" w:hAnsi="Comic Sans MS"/>
        </w:rPr>
        <w:t xml:space="preserve">Dicha situación ha sido posible principalmente por la evolución positiva en el área de negocio de maquinas y soluciones a medida, al irse activando proyectos de inversión y mejora de instalaciones de nuestros clientes. Asimismo, se continúa potenciando el área de exportación, primordialmente en </w:t>
      </w:r>
      <w:r>
        <w:rPr>
          <w:rFonts w:ascii="Comic Sans MS" w:hAnsi="Comic Sans MS"/>
        </w:rPr>
        <w:t>Latinoamérica</w:t>
      </w:r>
      <w:r w:rsidRPr="001C0B70">
        <w:rPr>
          <w:rFonts w:ascii="Comic Sans MS" w:hAnsi="Comic Sans MS"/>
        </w:rPr>
        <w:t xml:space="preserve">.  </w:t>
      </w:r>
    </w:p>
    <w:p w:rsidR="00AC3307" w:rsidRPr="001C0B70" w:rsidRDefault="00AC3307" w:rsidP="00667295">
      <w:pPr>
        <w:jc w:val="both"/>
        <w:rPr>
          <w:rFonts w:ascii="Comic Sans MS" w:hAnsi="Comic Sans MS"/>
        </w:rPr>
      </w:pPr>
    </w:p>
    <w:p w:rsidR="00AC3307" w:rsidRPr="001C0B70" w:rsidRDefault="00AC3307" w:rsidP="00F37D41">
      <w:pPr>
        <w:pStyle w:val="NormalWeb"/>
        <w:spacing w:after="240" w:afterAutospacing="0"/>
        <w:jc w:val="both"/>
        <w:rPr>
          <w:rFonts w:ascii="Comic Sans MS" w:hAnsi="Comic Sans MS"/>
          <w:b/>
          <w:bCs/>
          <w:u w:val="single"/>
        </w:rPr>
      </w:pPr>
      <w:r w:rsidRPr="001C0B70">
        <w:rPr>
          <w:rFonts w:ascii="Comic Sans MS" w:hAnsi="Comic Sans MS"/>
          <w:b/>
          <w:bCs/>
          <w:u w:val="single"/>
        </w:rPr>
        <w:t xml:space="preserve">Grupo Urbar </w:t>
      </w:r>
    </w:p>
    <w:p w:rsidR="00AC3307" w:rsidRPr="001C0B70" w:rsidRDefault="00AC3307" w:rsidP="0044785B">
      <w:pPr>
        <w:pStyle w:val="NormalWeb"/>
        <w:spacing w:after="240" w:afterAutospacing="0"/>
        <w:jc w:val="both"/>
        <w:rPr>
          <w:rFonts w:ascii="Comic Sans MS" w:hAnsi="Comic Sans MS"/>
          <w:bCs/>
          <w:szCs w:val="18"/>
        </w:rPr>
      </w:pPr>
      <w:r w:rsidRPr="001C0B70">
        <w:rPr>
          <w:rFonts w:ascii="Comic Sans MS" w:hAnsi="Comic Sans MS"/>
          <w:bCs/>
          <w:szCs w:val="18"/>
        </w:rPr>
        <w:t>El Grupo Urbar ha finalizado el primer semestre con unas ventas de 9</w:t>
      </w:r>
      <w:r>
        <w:rPr>
          <w:rFonts w:ascii="Comic Sans MS" w:hAnsi="Comic Sans MS"/>
          <w:bCs/>
          <w:szCs w:val="18"/>
        </w:rPr>
        <w:t xml:space="preserve"> MM€, </w:t>
      </w:r>
      <w:r w:rsidRPr="001C0B70">
        <w:rPr>
          <w:rFonts w:ascii="Comic Sans MS" w:hAnsi="Comic Sans MS"/>
          <w:bCs/>
          <w:szCs w:val="18"/>
        </w:rPr>
        <w:t xml:space="preserve">que </w:t>
      </w:r>
      <w:r>
        <w:rPr>
          <w:rFonts w:ascii="Comic Sans MS" w:hAnsi="Comic Sans MS"/>
          <w:bCs/>
          <w:szCs w:val="18"/>
        </w:rPr>
        <w:t>significa</w:t>
      </w:r>
      <w:r w:rsidRPr="001C0B70">
        <w:rPr>
          <w:rFonts w:ascii="Comic Sans MS" w:hAnsi="Comic Sans MS"/>
          <w:bCs/>
          <w:szCs w:val="18"/>
        </w:rPr>
        <w:t xml:space="preserve"> un aumento del 15% respecto del 2009, un EBITDA de 978 miles de euros y un  resultado positivo antes de impuestos de  300,6 miles de euros, que supone un crecimiento del 121% respecto del mismo periodo del año anterior.</w:t>
      </w:r>
    </w:p>
    <w:p w:rsidR="00AC3307" w:rsidRPr="001C0B70" w:rsidRDefault="00AC3307" w:rsidP="0044785B">
      <w:pPr>
        <w:pStyle w:val="NormalWeb"/>
        <w:spacing w:after="240" w:afterAutospacing="0"/>
        <w:jc w:val="both"/>
        <w:rPr>
          <w:rFonts w:ascii="Comic Sans MS" w:hAnsi="Comic Sans MS"/>
          <w:bCs/>
          <w:szCs w:val="18"/>
        </w:rPr>
      </w:pPr>
      <w:r w:rsidRPr="001C0B70">
        <w:rPr>
          <w:rFonts w:ascii="Comic Sans MS" w:hAnsi="Comic Sans MS"/>
          <w:bCs/>
          <w:szCs w:val="18"/>
        </w:rPr>
        <w:t>Esta importante mejora en el resultado consolidado se ha debido, además de a la mejor evolución de la matriz, al crecimiento en ventas y resultados de la filiales Metrocompost y Virlab.</w:t>
      </w:r>
    </w:p>
    <w:p w:rsidR="00AC3307" w:rsidRPr="001C0B70" w:rsidRDefault="00AC3307" w:rsidP="0044785B">
      <w:pPr>
        <w:pStyle w:val="NormalWeb"/>
        <w:spacing w:after="240" w:afterAutospacing="0"/>
        <w:jc w:val="both"/>
        <w:rPr>
          <w:rFonts w:ascii="Comic Sans MS" w:hAnsi="Comic Sans MS" w:cs="Tahoma"/>
          <w:bCs/>
        </w:rPr>
      </w:pPr>
      <w:r w:rsidRPr="001C0B70">
        <w:rPr>
          <w:rFonts w:ascii="Comic Sans MS" w:hAnsi="Comic Sans MS" w:cs="Tahoma"/>
          <w:bCs/>
        </w:rPr>
        <w:t xml:space="preserve">Metrocompost ha mejorado su resultado antes de impuestos en un 72%, con una tendencia de crecimiento importante respecto del año pasado, derivado del inicio de ejecución de obras significativas en el ámbito internacional. </w:t>
      </w:r>
    </w:p>
    <w:p w:rsidR="00AC3307" w:rsidRPr="001C0B70" w:rsidRDefault="00AC3307" w:rsidP="0044785B">
      <w:pPr>
        <w:pStyle w:val="NormalWeb"/>
        <w:spacing w:after="240" w:afterAutospacing="0"/>
        <w:jc w:val="both"/>
        <w:rPr>
          <w:rFonts w:ascii="Comic Sans MS" w:hAnsi="Comic Sans MS"/>
          <w:bCs/>
          <w:szCs w:val="18"/>
        </w:rPr>
      </w:pPr>
      <w:r w:rsidRPr="001C0B70">
        <w:rPr>
          <w:rFonts w:ascii="Comic Sans MS" w:hAnsi="Comic Sans MS" w:cs="Tahoma"/>
          <w:bCs/>
        </w:rPr>
        <w:t>Por su parte, la filial Virlab ha contribuido con una situación de aumento en ventas respecto al año anterior del 41% y en resultados antes de i</w:t>
      </w:r>
      <w:r>
        <w:rPr>
          <w:rFonts w:ascii="Comic Sans MS" w:hAnsi="Comic Sans MS" w:cs="Tahoma"/>
          <w:bCs/>
        </w:rPr>
        <w:t>m</w:t>
      </w:r>
      <w:r w:rsidRPr="001C0B70">
        <w:rPr>
          <w:rFonts w:ascii="Comic Sans MS" w:hAnsi="Comic Sans MS" w:cs="Tahoma"/>
          <w:bCs/>
        </w:rPr>
        <w:t>puestos del</w:t>
      </w:r>
      <w:r>
        <w:rPr>
          <w:rFonts w:ascii="Comic Sans MS" w:hAnsi="Comic Sans MS" w:cs="Tahoma"/>
          <w:bCs/>
        </w:rPr>
        <w:t xml:space="preserve"> </w:t>
      </w:r>
      <w:r w:rsidRPr="001C0B70">
        <w:rPr>
          <w:rFonts w:ascii="Comic Sans MS" w:hAnsi="Comic Sans MS" w:cs="Tahoma"/>
          <w:bCs/>
        </w:rPr>
        <w:t>124%.</w:t>
      </w:r>
    </w:p>
    <w:p w:rsidR="00AC3307" w:rsidRPr="001C0B70" w:rsidRDefault="00AC3307" w:rsidP="00667295">
      <w:pPr>
        <w:pStyle w:val="NormalWeb"/>
        <w:spacing w:after="240" w:afterAutospacing="0"/>
        <w:jc w:val="both"/>
        <w:rPr>
          <w:rFonts w:ascii="Comic Sans MS" w:hAnsi="Comic Sans MS"/>
          <w:bCs/>
        </w:rPr>
      </w:pPr>
      <w:r w:rsidRPr="001C0B70">
        <w:rPr>
          <w:rFonts w:ascii="Comic Sans MS" w:hAnsi="Comic Sans MS"/>
          <w:bCs/>
        </w:rPr>
        <w:t>La cartera tanto de Virlab como de Metrocompost, permite prever un año substancial para ambas sociedades.</w:t>
      </w:r>
    </w:p>
    <w:sectPr w:rsidR="00AC3307" w:rsidRPr="001C0B70" w:rsidSect="00EF1460">
      <w:pgSz w:w="11906" w:h="16838"/>
      <w:pgMar w:top="1417" w:right="1701" w:bottom="1417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F43"/>
    <w:rsid w:val="00050635"/>
    <w:rsid w:val="00052E5E"/>
    <w:rsid w:val="0008714A"/>
    <w:rsid w:val="00093B26"/>
    <w:rsid w:val="000B0939"/>
    <w:rsid w:val="00194211"/>
    <w:rsid w:val="001C0B70"/>
    <w:rsid w:val="001C4490"/>
    <w:rsid w:val="001C640D"/>
    <w:rsid w:val="001E11AF"/>
    <w:rsid w:val="001E558B"/>
    <w:rsid w:val="002221B5"/>
    <w:rsid w:val="0022338E"/>
    <w:rsid w:val="002C6555"/>
    <w:rsid w:val="002D5D99"/>
    <w:rsid w:val="002E4B32"/>
    <w:rsid w:val="003465F3"/>
    <w:rsid w:val="00350364"/>
    <w:rsid w:val="004007C1"/>
    <w:rsid w:val="00404984"/>
    <w:rsid w:val="00407EED"/>
    <w:rsid w:val="00425B28"/>
    <w:rsid w:val="0043757F"/>
    <w:rsid w:val="0044785B"/>
    <w:rsid w:val="004973E2"/>
    <w:rsid w:val="004E1255"/>
    <w:rsid w:val="00560BCA"/>
    <w:rsid w:val="005D7C68"/>
    <w:rsid w:val="005E4EAE"/>
    <w:rsid w:val="00667295"/>
    <w:rsid w:val="006B4D9A"/>
    <w:rsid w:val="006E35FA"/>
    <w:rsid w:val="00707260"/>
    <w:rsid w:val="00747138"/>
    <w:rsid w:val="007A03A4"/>
    <w:rsid w:val="007B183B"/>
    <w:rsid w:val="00820AB5"/>
    <w:rsid w:val="008816FC"/>
    <w:rsid w:val="008F6A20"/>
    <w:rsid w:val="00904721"/>
    <w:rsid w:val="00911E9F"/>
    <w:rsid w:val="009320F4"/>
    <w:rsid w:val="00937213"/>
    <w:rsid w:val="0095529B"/>
    <w:rsid w:val="00964F43"/>
    <w:rsid w:val="0097233A"/>
    <w:rsid w:val="00987967"/>
    <w:rsid w:val="0099531F"/>
    <w:rsid w:val="009B0A55"/>
    <w:rsid w:val="00A15746"/>
    <w:rsid w:val="00A44DBC"/>
    <w:rsid w:val="00AA2CE2"/>
    <w:rsid w:val="00AC3307"/>
    <w:rsid w:val="00AD5552"/>
    <w:rsid w:val="00AF2360"/>
    <w:rsid w:val="00B05BAE"/>
    <w:rsid w:val="00B24F64"/>
    <w:rsid w:val="00B576D0"/>
    <w:rsid w:val="00B76683"/>
    <w:rsid w:val="00BA05F0"/>
    <w:rsid w:val="00BC03B1"/>
    <w:rsid w:val="00CB504B"/>
    <w:rsid w:val="00D14261"/>
    <w:rsid w:val="00D2144B"/>
    <w:rsid w:val="00D22861"/>
    <w:rsid w:val="00D40ECE"/>
    <w:rsid w:val="00D809E0"/>
    <w:rsid w:val="00D90E4A"/>
    <w:rsid w:val="00DF3CF0"/>
    <w:rsid w:val="00E02845"/>
    <w:rsid w:val="00E23A86"/>
    <w:rsid w:val="00E7593D"/>
    <w:rsid w:val="00EC1D97"/>
    <w:rsid w:val="00EE37C8"/>
    <w:rsid w:val="00EF1460"/>
    <w:rsid w:val="00F37D41"/>
    <w:rsid w:val="00F7128B"/>
    <w:rsid w:val="00FB25B3"/>
    <w:rsid w:val="00FB3E5B"/>
    <w:rsid w:val="00FE1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460"/>
    <w:rPr>
      <w:sz w:val="24"/>
      <w:szCs w:val="24"/>
      <w:lang w:val="es-ES_tradnl" w:eastAsia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67295"/>
    <w:pPr>
      <w:spacing w:before="100" w:beforeAutospacing="1" w:after="100" w:afterAutospacing="1"/>
    </w:pPr>
    <w:rPr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72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254</Words>
  <Characters>1401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Información Complementaria (explicación de las modificaciones)</dc:title>
  <dc:subject/>
  <dc:creator>JBurzaco</dc:creator>
  <cp:keywords/>
  <dc:description/>
  <cp:lastModifiedBy>IAcero</cp:lastModifiedBy>
  <cp:revision>2</cp:revision>
  <cp:lastPrinted>2010-05-13T14:23:00Z</cp:lastPrinted>
  <dcterms:created xsi:type="dcterms:W3CDTF">2010-07-29T18:00:00Z</dcterms:created>
  <dcterms:modified xsi:type="dcterms:W3CDTF">2010-07-29T18:00:00Z</dcterms:modified>
</cp:coreProperties>
</file>