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7EC" w:rsidRDefault="008377EC" w:rsidP="00FD5EA4">
      <w:pPr>
        <w:autoSpaceDE w:val="0"/>
        <w:autoSpaceDN w:val="0"/>
        <w:adjustRightInd w:val="0"/>
        <w:spacing w:after="0" w:line="240" w:lineRule="auto"/>
        <w:ind w:left="708" w:hanging="708"/>
        <w:rPr>
          <w:rFonts w:asciiTheme="majorHAnsi" w:hAnsiTheme="majorHAnsi" w:cs="Tahoma"/>
          <w:color w:val="000000"/>
          <w:sz w:val="32"/>
          <w:szCs w:val="32"/>
        </w:rPr>
      </w:pPr>
    </w:p>
    <w:p w:rsidR="008377EC" w:rsidRPr="00AC2113" w:rsidRDefault="008377EC" w:rsidP="008377EC">
      <w:pPr>
        <w:autoSpaceDE w:val="0"/>
        <w:autoSpaceDN w:val="0"/>
        <w:adjustRightInd w:val="0"/>
        <w:spacing w:after="0" w:line="240" w:lineRule="auto"/>
        <w:rPr>
          <w:rFonts w:asciiTheme="majorHAnsi" w:hAnsiTheme="majorHAnsi" w:cs="Tahoma"/>
          <w:color w:val="000000"/>
          <w:sz w:val="16"/>
          <w:szCs w:val="16"/>
        </w:rPr>
      </w:pPr>
    </w:p>
    <w:p w:rsidR="006B40E1" w:rsidRPr="005E5C6A" w:rsidRDefault="006B40E1" w:rsidP="006B40E1">
      <w:pPr>
        <w:autoSpaceDE w:val="0"/>
        <w:autoSpaceDN w:val="0"/>
        <w:adjustRightInd w:val="0"/>
        <w:spacing w:after="0" w:line="240" w:lineRule="auto"/>
        <w:rPr>
          <w:rFonts w:ascii="Bankinter" w:hAnsi="Bankinter" w:cs="Bankinter"/>
          <w:color w:val="000000"/>
          <w:sz w:val="36"/>
          <w:szCs w:val="36"/>
        </w:rPr>
      </w:pPr>
      <w:r w:rsidRPr="005E5C6A">
        <w:rPr>
          <w:rFonts w:ascii="Bankinter" w:hAnsi="Bankinter" w:cs="Bankinter"/>
          <w:color w:val="000000"/>
          <w:sz w:val="36"/>
          <w:szCs w:val="36"/>
        </w:rPr>
        <w:t>Bankinter duplica su beneficio neto en los nueve primeros meses del año, hasta los 155,8 millones de euros</w:t>
      </w:r>
    </w:p>
    <w:p w:rsidR="006B40E1" w:rsidRDefault="006B40E1" w:rsidP="006B40E1">
      <w:pPr>
        <w:autoSpaceDE w:val="0"/>
        <w:autoSpaceDN w:val="0"/>
        <w:adjustRightInd w:val="0"/>
        <w:spacing w:after="0" w:line="240" w:lineRule="auto"/>
        <w:rPr>
          <w:rFonts w:ascii="Bankinter" w:hAnsi="Bankinter" w:cs="Bankinter"/>
          <w:color w:val="000000"/>
          <w:sz w:val="18"/>
          <w:szCs w:val="18"/>
        </w:rPr>
      </w:pPr>
    </w:p>
    <w:p w:rsidR="00091070" w:rsidRDefault="003018A9" w:rsidP="006B40E1">
      <w:pPr>
        <w:autoSpaceDE w:val="0"/>
        <w:autoSpaceDN w:val="0"/>
        <w:adjustRightInd w:val="0"/>
        <w:spacing w:after="0" w:line="240" w:lineRule="auto"/>
        <w:rPr>
          <w:rFonts w:ascii="Bankinter" w:hAnsi="Bankinter" w:cs="Bankinter"/>
          <w:color w:val="000000"/>
        </w:rPr>
      </w:pPr>
      <w:r>
        <w:rPr>
          <w:rFonts w:ascii="Bankinter" w:hAnsi="Bankinter" w:cs="Bankinter"/>
          <w:color w:val="000000"/>
        </w:rPr>
        <w:t>-</w:t>
      </w:r>
      <w:r w:rsidR="00091070">
        <w:rPr>
          <w:rFonts w:ascii="Bankinter" w:hAnsi="Bankinter" w:cs="Bankinter"/>
          <w:color w:val="000000"/>
        </w:rPr>
        <w:t xml:space="preserve">La calidad de activos del banco sigue mejorando respecto al </w:t>
      </w:r>
      <w:r w:rsidR="001075A8">
        <w:rPr>
          <w:rFonts w:ascii="Bankinter" w:hAnsi="Bankinter" w:cs="Bankinter"/>
          <w:color w:val="000000"/>
        </w:rPr>
        <w:t>sistema</w:t>
      </w:r>
      <w:r>
        <w:rPr>
          <w:rFonts w:ascii="Bankinter" w:hAnsi="Bankinter" w:cs="Bankinter"/>
          <w:color w:val="000000"/>
        </w:rPr>
        <w:t xml:space="preserve">, con </w:t>
      </w:r>
      <w:r w:rsidR="00B05F8C">
        <w:rPr>
          <w:rFonts w:ascii="Bankinter" w:hAnsi="Bankinter" w:cs="Bankinter"/>
          <w:color w:val="000000"/>
        </w:rPr>
        <w:t>un</w:t>
      </w:r>
      <w:r w:rsidR="001075A8">
        <w:rPr>
          <w:rFonts w:ascii="Bankinter" w:hAnsi="Bankinter" w:cs="Bankinter"/>
          <w:color w:val="000000"/>
        </w:rPr>
        <w:t>a</w:t>
      </w:r>
      <w:r w:rsidR="00B05F8C">
        <w:rPr>
          <w:rFonts w:ascii="Bankinter" w:hAnsi="Bankinter" w:cs="Bankinter"/>
          <w:color w:val="000000"/>
        </w:rPr>
        <w:t xml:space="preserve"> </w:t>
      </w:r>
      <w:r w:rsidR="001075A8">
        <w:rPr>
          <w:rFonts w:ascii="Bankinter" w:hAnsi="Bankinter" w:cs="Bankinter"/>
          <w:color w:val="000000"/>
        </w:rPr>
        <w:t>tasa</w:t>
      </w:r>
      <w:r w:rsidR="00B05F8C">
        <w:rPr>
          <w:rFonts w:ascii="Bankinter" w:hAnsi="Bankinter" w:cs="Bankinter"/>
          <w:color w:val="000000"/>
        </w:rPr>
        <w:t xml:space="preserve"> de morosidad </w:t>
      </w:r>
      <w:r w:rsidR="00EE77EC">
        <w:rPr>
          <w:rFonts w:ascii="Bankinter" w:hAnsi="Bankinter" w:cs="Bankinter"/>
          <w:color w:val="000000"/>
        </w:rPr>
        <w:t>inferior a</w:t>
      </w:r>
      <w:r w:rsidR="00B05F8C">
        <w:rPr>
          <w:rFonts w:ascii="Bankinter" w:hAnsi="Bankinter" w:cs="Bankinter"/>
          <w:color w:val="000000"/>
        </w:rPr>
        <w:t xml:space="preserve"> la</w:t>
      </w:r>
      <w:r>
        <w:rPr>
          <w:rFonts w:ascii="Bankinter" w:hAnsi="Bankinter" w:cs="Bankinter"/>
          <w:color w:val="000000"/>
        </w:rPr>
        <w:t xml:space="preserve"> mitad que la media</w:t>
      </w:r>
      <w:r w:rsidR="001075A8">
        <w:rPr>
          <w:rFonts w:ascii="Bankinter" w:hAnsi="Bankinter" w:cs="Bankinter"/>
          <w:color w:val="000000"/>
        </w:rPr>
        <w:t xml:space="preserve"> sectorial</w:t>
      </w:r>
      <w:r w:rsidR="00091070">
        <w:rPr>
          <w:rFonts w:ascii="Bankinter" w:hAnsi="Bankinter" w:cs="Bankinter"/>
          <w:color w:val="000000"/>
        </w:rPr>
        <w:t xml:space="preserve">. </w:t>
      </w:r>
    </w:p>
    <w:p w:rsidR="00091070" w:rsidRDefault="00091070" w:rsidP="006B40E1">
      <w:pPr>
        <w:autoSpaceDE w:val="0"/>
        <w:autoSpaceDN w:val="0"/>
        <w:adjustRightInd w:val="0"/>
        <w:spacing w:after="0" w:line="240" w:lineRule="auto"/>
        <w:rPr>
          <w:rFonts w:ascii="Bankinter" w:hAnsi="Bankinter" w:cs="Bankinter"/>
          <w:color w:val="000000" w:themeColor="text1"/>
        </w:rPr>
      </w:pPr>
      <w:r w:rsidRPr="00091070">
        <w:rPr>
          <w:rFonts w:ascii="Bankinter" w:hAnsi="Bankinter" w:cs="Bankinter"/>
          <w:color w:val="000000" w:themeColor="text1"/>
        </w:rPr>
        <w:t xml:space="preserve">-El margen antes de provisiones </w:t>
      </w:r>
      <w:r>
        <w:rPr>
          <w:rFonts w:ascii="Bankinter" w:hAnsi="Bankinter" w:cs="Bankinter"/>
          <w:color w:val="000000" w:themeColor="text1"/>
        </w:rPr>
        <w:t xml:space="preserve">mantiene su tendencia ascendente y crece un 9,4%, </w:t>
      </w:r>
      <w:r w:rsidRPr="00091070">
        <w:rPr>
          <w:rFonts w:ascii="Bankinter" w:hAnsi="Bankinter" w:cs="Bankinter"/>
          <w:color w:val="000000" w:themeColor="text1"/>
        </w:rPr>
        <w:t>permit</w:t>
      </w:r>
      <w:r>
        <w:rPr>
          <w:rFonts w:ascii="Bankinter" w:hAnsi="Bankinter" w:cs="Bankinter"/>
          <w:color w:val="000000" w:themeColor="text1"/>
        </w:rPr>
        <w:t>iendo</w:t>
      </w:r>
      <w:r w:rsidRPr="00091070">
        <w:rPr>
          <w:rFonts w:ascii="Bankinter" w:hAnsi="Bankinter" w:cs="Bankinter"/>
          <w:color w:val="000000" w:themeColor="text1"/>
        </w:rPr>
        <w:t xml:space="preserve"> absorber las </w:t>
      </w:r>
      <w:r w:rsidR="005E5C6A">
        <w:rPr>
          <w:rFonts w:ascii="Bankinter" w:hAnsi="Bankinter" w:cs="Bankinter"/>
          <w:color w:val="000000" w:themeColor="text1"/>
        </w:rPr>
        <w:t>dotaciones</w:t>
      </w:r>
      <w:r w:rsidRPr="00091070">
        <w:rPr>
          <w:rFonts w:ascii="Bankinter" w:hAnsi="Bankinter" w:cs="Bankinter"/>
          <w:color w:val="000000" w:themeColor="text1"/>
        </w:rPr>
        <w:t xml:space="preserve"> adicionales </w:t>
      </w:r>
      <w:r>
        <w:rPr>
          <w:rFonts w:ascii="Bankinter" w:hAnsi="Bankinter" w:cs="Bankinter"/>
          <w:color w:val="000000" w:themeColor="text1"/>
        </w:rPr>
        <w:t>por</w:t>
      </w:r>
      <w:r w:rsidRPr="00091070">
        <w:rPr>
          <w:rFonts w:ascii="Bankinter" w:hAnsi="Bankinter" w:cs="Bankinter"/>
          <w:color w:val="000000" w:themeColor="text1"/>
        </w:rPr>
        <w:t xml:space="preserve"> refinanciaciones.</w:t>
      </w:r>
    </w:p>
    <w:p w:rsidR="005E5C6A" w:rsidRPr="005E5C6A" w:rsidRDefault="005E5C6A" w:rsidP="006B40E1">
      <w:pPr>
        <w:autoSpaceDE w:val="0"/>
        <w:autoSpaceDN w:val="0"/>
        <w:adjustRightInd w:val="0"/>
        <w:spacing w:after="0" w:line="240" w:lineRule="auto"/>
        <w:rPr>
          <w:rFonts w:ascii="Bankinter" w:hAnsi="Bankinter" w:cs="Bankinter"/>
          <w:color w:val="000000"/>
        </w:rPr>
      </w:pPr>
      <w:r>
        <w:rPr>
          <w:rFonts w:ascii="Bankinter" w:hAnsi="Bankinter" w:cs="Bankinter"/>
          <w:color w:val="000000" w:themeColor="text1"/>
        </w:rPr>
        <w:t>-</w:t>
      </w:r>
      <w:r w:rsidRPr="005E5C6A">
        <w:rPr>
          <w:rFonts w:ascii="Bankinter" w:hAnsi="Bankinter" w:cs="Bankinter"/>
          <w:color w:val="000000" w:themeColor="text1"/>
        </w:rPr>
        <w:t xml:space="preserve">El banco </w:t>
      </w:r>
      <w:r w:rsidRPr="005E5C6A">
        <w:rPr>
          <w:rFonts w:cs="Bankinter"/>
          <w:color w:val="000000" w:themeColor="text1"/>
        </w:rPr>
        <w:t>sigue fortaleciendo su solvencia y alcanza al cierre del tercer trimestre un ratio de capital EBA del 11,7%.</w:t>
      </w:r>
    </w:p>
    <w:p w:rsidR="00D50067" w:rsidRPr="00035831" w:rsidRDefault="00D50067" w:rsidP="008377EC">
      <w:pPr>
        <w:autoSpaceDE w:val="0"/>
        <w:autoSpaceDN w:val="0"/>
        <w:adjustRightInd w:val="0"/>
        <w:spacing w:after="0" w:line="240" w:lineRule="auto"/>
        <w:jc w:val="both"/>
        <w:rPr>
          <w:rFonts w:ascii="Bankinter" w:hAnsi="Bankinter" w:cs="Bankinter"/>
          <w:color w:val="000000" w:themeColor="text1"/>
          <w:sz w:val="16"/>
          <w:szCs w:val="16"/>
        </w:rPr>
      </w:pPr>
    </w:p>
    <w:p w:rsidR="00035831" w:rsidRPr="005E5C6A" w:rsidRDefault="003018A9" w:rsidP="007771C6">
      <w:pPr>
        <w:autoSpaceDE w:val="0"/>
        <w:autoSpaceDN w:val="0"/>
        <w:adjustRightInd w:val="0"/>
        <w:spacing w:after="0" w:line="240" w:lineRule="auto"/>
        <w:jc w:val="both"/>
        <w:rPr>
          <w:rFonts w:ascii="Bankinter" w:hAnsi="Bankinter" w:cs="Bankinter"/>
          <w:color w:val="000000" w:themeColor="text1"/>
          <w:sz w:val="20"/>
          <w:szCs w:val="20"/>
          <w:lang w:val="es-ES_tradnl"/>
        </w:rPr>
      </w:pPr>
      <w:r>
        <w:rPr>
          <w:rFonts w:ascii="Bankinter" w:hAnsi="Bankinter" w:cs="Bankinter"/>
          <w:b/>
          <w:color w:val="000000" w:themeColor="text1"/>
          <w:sz w:val="20"/>
          <w:szCs w:val="20"/>
        </w:rPr>
        <w:t>24/10</w:t>
      </w:r>
      <w:r w:rsidR="008377EC" w:rsidRPr="009D0BC1">
        <w:rPr>
          <w:rFonts w:ascii="Bankinter" w:hAnsi="Bankinter" w:cs="Bankinter"/>
          <w:b/>
          <w:color w:val="000000" w:themeColor="text1"/>
          <w:sz w:val="20"/>
          <w:szCs w:val="20"/>
        </w:rPr>
        <w:t>/2013</w:t>
      </w:r>
      <w:r w:rsidR="008377EC" w:rsidRPr="009D0BC1">
        <w:rPr>
          <w:rFonts w:ascii="Bankinter" w:hAnsi="Bankinter" w:cs="Bankinter"/>
          <w:color w:val="000000" w:themeColor="text1"/>
          <w:sz w:val="20"/>
          <w:szCs w:val="20"/>
        </w:rPr>
        <w:t xml:space="preserve">. </w:t>
      </w:r>
      <w:r w:rsidR="006B40E1" w:rsidRPr="004939E0">
        <w:rPr>
          <w:rFonts w:cs="Bankinter"/>
          <w:color w:val="000000" w:themeColor="text1"/>
          <w:sz w:val="20"/>
          <w:szCs w:val="20"/>
        </w:rPr>
        <w:t>El Grupo Bankinter obtiene al cierre del tercer trimestre del año un beneficio neto acumulado de 155,8</w:t>
      </w:r>
      <w:r w:rsidR="006B40E1" w:rsidRPr="004939E0">
        <w:rPr>
          <w:rFonts w:cs="Bankinter"/>
          <w:color w:val="000000" w:themeColor="text1"/>
          <w:sz w:val="20"/>
          <w:szCs w:val="20"/>
          <w:lang w:val="es-ES_tradnl"/>
        </w:rPr>
        <w:t xml:space="preserve"> </w:t>
      </w:r>
      <w:r w:rsidR="006B40E1">
        <w:rPr>
          <w:rFonts w:cs="Bankinter"/>
          <w:color w:val="000000" w:themeColor="text1"/>
          <w:sz w:val="20"/>
          <w:szCs w:val="20"/>
          <w:lang w:val="es-ES_tradnl"/>
        </w:rPr>
        <w:t>millones de euros, algo más d</w:t>
      </w:r>
      <w:r w:rsidR="006B40E1" w:rsidRPr="004939E0">
        <w:rPr>
          <w:rFonts w:cs="Bankinter"/>
          <w:color w:val="000000" w:themeColor="text1"/>
          <w:sz w:val="20"/>
          <w:szCs w:val="20"/>
          <w:lang w:val="es-ES_tradnl"/>
        </w:rPr>
        <w:t>el doble (un 115,5% más) que el obtenido hace un año. En cuanto al beneficio antes de impuestos</w:t>
      </w:r>
      <w:r w:rsidR="006B40E1">
        <w:rPr>
          <w:rFonts w:cs="Bankinter"/>
          <w:color w:val="000000" w:themeColor="text1"/>
          <w:sz w:val="20"/>
          <w:szCs w:val="20"/>
          <w:lang w:val="es-ES_tradnl"/>
        </w:rPr>
        <w:t>,</w:t>
      </w:r>
      <w:r w:rsidR="006B40E1" w:rsidRPr="004939E0">
        <w:rPr>
          <w:rFonts w:cs="Bankinter"/>
          <w:color w:val="000000" w:themeColor="text1"/>
          <w:sz w:val="20"/>
          <w:szCs w:val="20"/>
          <w:lang w:val="es-ES_tradnl"/>
        </w:rPr>
        <w:t xml:space="preserve"> alcanza </w:t>
      </w:r>
      <w:r w:rsidR="006B40E1" w:rsidRPr="005E5C6A">
        <w:rPr>
          <w:rFonts w:cs="Bankinter"/>
          <w:color w:val="000000" w:themeColor="text1"/>
          <w:sz w:val="20"/>
          <w:szCs w:val="20"/>
          <w:lang w:val="es-ES_tradnl"/>
        </w:rPr>
        <w:t>los 211,1 millones, un 146% por encima que el mismo dato a 30 de septiembre de 2012</w:t>
      </w:r>
      <w:r w:rsidR="00AD642B" w:rsidRPr="005E5C6A">
        <w:rPr>
          <w:rFonts w:ascii="Bankinter" w:hAnsi="Bankinter" w:cs="Bankinter"/>
          <w:color w:val="000000" w:themeColor="text1"/>
          <w:sz w:val="20"/>
          <w:szCs w:val="20"/>
          <w:lang w:val="es-ES_tradnl"/>
        </w:rPr>
        <w:t xml:space="preserve">. </w:t>
      </w:r>
    </w:p>
    <w:p w:rsidR="00035831" w:rsidRPr="005E5C6A" w:rsidRDefault="00035831" w:rsidP="007771C6">
      <w:pPr>
        <w:autoSpaceDE w:val="0"/>
        <w:autoSpaceDN w:val="0"/>
        <w:adjustRightInd w:val="0"/>
        <w:spacing w:after="0" w:line="240" w:lineRule="auto"/>
        <w:jc w:val="both"/>
        <w:rPr>
          <w:rFonts w:ascii="Bankinter" w:hAnsi="Bankinter" w:cs="Bankinter"/>
          <w:color w:val="000000" w:themeColor="text1"/>
          <w:sz w:val="20"/>
          <w:szCs w:val="20"/>
          <w:lang w:val="es-ES_tradnl"/>
        </w:rPr>
      </w:pPr>
    </w:p>
    <w:p w:rsidR="007771C6" w:rsidRDefault="00036841" w:rsidP="007771C6">
      <w:pPr>
        <w:autoSpaceDE w:val="0"/>
        <w:autoSpaceDN w:val="0"/>
        <w:adjustRightInd w:val="0"/>
        <w:spacing w:after="0" w:line="240" w:lineRule="auto"/>
        <w:jc w:val="both"/>
        <w:rPr>
          <w:rFonts w:ascii="Bankinter" w:hAnsi="Bankinter" w:cs="Bankinter"/>
          <w:color w:val="000000" w:themeColor="text1"/>
          <w:sz w:val="20"/>
          <w:szCs w:val="20"/>
        </w:rPr>
      </w:pPr>
      <w:r>
        <w:rPr>
          <w:rFonts w:ascii="Bankinter" w:hAnsi="Bankinter" w:cs="Bankinter"/>
          <w:color w:val="000000" w:themeColor="text1"/>
          <w:sz w:val="20"/>
          <w:szCs w:val="20"/>
          <w:lang w:val="es-ES_tradnl"/>
        </w:rPr>
        <w:t xml:space="preserve">Estos </w:t>
      </w:r>
      <w:r w:rsidR="00B05F8C" w:rsidRPr="005E5C6A">
        <w:rPr>
          <w:rFonts w:ascii="Bankinter" w:hAnsi="Bankinter" w:cs="Bankinter"/>
          <w:color w:val="000000" w:themeColor="text1"/>
          <w:sz w:val="20"/>
          <w:szCs w:val="20"/>
        </w:rPr>
        <w:t>sólidos</w:t>
      </w:r>
      <w:r w:rsidR="008377EC" w:rsidRPr="005E5C6A">
        <w:rPr>
          <w:rFonts w:ascii="Bankinter" w:hAnsi="Bankinter" w:cs="Bankinter"/>
          <w:color w:val="000000" w:themeColor="text1"/>
          <w:sz w:val="20"/>
          <w:szCs w:val="20"/>
        </w:rPr>
        <w:t xml:space="preserve"> resultados</w:t>
      </w:r>
      <w:r w:rsidR="00897664">
        <w:rPr>
          <w:rFonts w:ascii="Bankinter" w:hAnsi="Bankinter" w:cs="Bankinter"/>
          <w:color w:val="000000" w:themeColor="text1"/>
          <w:sz w:val="20"/>
          <w:szCs w:val="20"/>
        </w:rPr>
        <w:t xml:space="preserve"> </w:t>
      </w:r>
      <w:r w:rsidR="007771C6" w:rsidRPr="005E5C6A">
        <w:rPr>
          <w:rFonts w:ascii="Bankinter" w:hAnsi="Bankinter" w:cs="Bankinter"/>
          <w:color w:val="000000" w:themeColor="text1"/>
          <w:sz w:val="20"/>
          <w:szCs w:val="20"/>
        </w:rPr>
        <w:t>se asientan sobre el buen comportamiento de todas las líneas de ingresos, sobre todo los derivados de negocios en los que el banco ha centrado su estrategia, como banca privada o empresas, y en el</w:t>
      </w:r>
      <w:r w:rsidR="007771C6" w:rsidRPr="0030677F">
        <w:rPr>
          <w:rFonts w:ascii="Bankinter" w:hAnsi="Bankinter" w:cs="Bankinter"/>
          <w:color w:val="000000" w:themeColor="text1"/>
          <w:sz w:val="20"/>
          <w:szCs w:val="20"/>
        </w:rPr>
        <w:t xml:space="preserve"> buen comportamiento de  la actividad aseguradora. Esta mejora de los ingresos, junto a una contención de los gastos, ha llevado de nuevo a una mejora de la eficiencia</w:t>
      </w:r>
      <w:r w:rsidR="004A67F8">
        <w:rPr>
          <w:rFonts w:ascii="Bankinter" w:hAnsi="Bankinter" w:cs="Bankinter"/>
          <w:color w:val="000000" w:themeColor="text1"/>
          <w:sz w:val="20"/>
          <w:szCs w:val="20"/>
        </w:rPr>
        <w:t xml:space="preserve"> de la actividad bancaria</w:t>
      </w:r>
      <w:r w:rsidR="007771C6" w:rsidRPr="0030677F">
        <w:rPr>
          <w:rFonts w:ascii="Bankinter" w:hAnsi="Bankinter" w:cs="Bankinter"/>
          <w:color w:val="000000" w:themeColor="text1"/>
          <w:sz w:val="20"/>
          <w:szCs w:val="20"/>
        </w:rPr>
        <w:t>, que se sitúa en el 41,2%.</w:t>
      </w: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rPr>
      </w:pP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rPr>
      </w:pPr>
      <w:r w:rsidRPr="0048211E">
        <w:rPr>
          <w:rFonts w:ascii="Bankinter" w:hAnsi="Bankinter" w:cs="Bankinter"/>
          <w:color w:val="000000" w:themeColor="text1"/>
          <w:sz w:val="20"/>
          <w:szCs w:val="20"/>
        </w:rPr>
        <w:t xml:space="preserve">De forma paralela, Bankinter sigue mejorando su nivel de solvencia, </w:t>
      </w:r>
      <w:r>
        <w:rPr>
          <w:rFonts w:ascii="Bankinter" w:hAnsi="Bankinter" w:cs="Bankinter"/>
          <w:color w:val="000000" w:themeColor="text1"/>
          <w:sz w:val="20"/>
          <w:szCs w:val="20"/>
        </w:rPr>
        <w:t>así como su</w:t>
      </w:r>
      <w:r w:rsidRPr="0048211E">
        <w:rPr>
          <w:rFonts w:ascii="Bankinter" w:hAnsi="Bankinter" w:cs="Bankinter"/>
          <w:color w:val="000000" w:themeColor="text1"/>
          <w:sz w:val="20"/>
          <w:szCs w:val="20"/>
        </w:rPr>
        <w:t xml:space="preserve"> estructura de financiación y la calidad de sus activos, que incrementan la distancia comparativa con respecto al sector</w:t>
      </w:r>
      <w:r>
        <w:rPr>
          <w:rFonts w:ascii="Bankinter" w:hAnsi="Bankinter" w:cs="Bankinter"/>
          <w:color w:val="000000" w:themeColor="text1"/>
          <w:sz w:val="20"/>
          <w:szCs w:val="20"/>
        </w:rPr>
        <w:t>.</w:t>
      </w: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rPr>
      </w:pP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lang w:val="es-ES_tradnl"/>
        </w:rPr>
      </w:pPr>
      <w:r w:rsidRPr="000D126B">
        <w:rPr>
          <w:rFonts w:cs="Bankinter"/>
          <w:color w:val="000000" w:themeColor="text1"/>
          <w:sz w:val="20"/>
          <w:szCs w:val="20"/>
        </w:rPr>
        <w:t xml:space="preserve">Cabe destacar, respecto a esto último, que el ratio de morosidad del banco se sitúa al cierre del tercer trimestre en el 4,99%, bastante menos de la mitad que la media del sector, y </w:t>
      </w:r>
      <w:r>
        <w:rPr>
          <w:rFonts w:cs="Bankinter"/>
          <w:color w:val="000000" w:themeColor="text1"/>
          <w:sz w:val="20"/>
          <w:szCs w:val="20"/>
        </w:rPr>
        <w:t>que su</w:t>
      </w:r>
      <w:r w:rsidRPr="000D126B">
        <w:rPr>
          <w:rFonts w:cs="Bankinter"/>
          <w:color w:val="000000" w:themeColor="text1"/>
          <w:sz w:val="20"/>
          <w:szCs w:val="20"/>
        </w:rPr>
        <w:t xml:space="preserve"> incremento respecto al pasado trimestre </w:t>
      </w:r>
      <w:r w:rsidRPr="000C5231">
        <w:rPr>
          <w:rFonts w:ascii="Bankinter" w:hAnsi="Bankinter" w:cs="Bankinter"/>
          <w:color w:val="000000" w:themeColor="text1"/>
          <w:sz w:val="20"/>
          <w:szCs w:val="20"/>
        </w:rPr>
        <w:t xml:space="preserve">se debe, en gran medida, </w:t>
      </w:r>
      <w:r w:rsidRPr="000C5231">
        <w:rPr>
          <w:rFonts w:ascii="Bankinter" w:hAnsi="Bankinter" w:cs="Bankinter"/>
          <w:color w:val="000000"/>
          <w:sz w:val="20"/>
          <w:szCs w:val="20"/>
        </w:rPr>
        <w:t>al ejercicio de reclasificación de créditos refinanciados</w:t>
      </w:r>
      <w:r w:rsidR="005E5C6A">
        <w:rPr>
          <w:rFonts w:ascii="Bankinter" w:hAnsi="Bankinter" w:cs="Bankinter"/>
          <w:color w:val="000000"/>
          <w:sz w:val="20"/>
          <w:szCs w:val="20"/>
        </w:rPr>
        <w:t>,</w:t>
      </w:r>
      <w:r w:rsidRPr="000C5231">
        <w:rPr>
          <w:rFonts w:ascii="Bankinter" w:hAnsi="Bankinter" w:cs="Bankinter"/>
          <w:color w:val="000000"/>
          <w:sz w:val="20"/>
          <w:szCs w:val="20"/>
        </w:rPr>
        <w:t xml:space="preserve"> siguiendo los nuevos criterios del Banco de España</w:t>
      </w:r>
      <w:r>
        <w:rPr>
          <w:rFonts w:ascii="Bankinter" w:hAnsi="Bankinter" w:cs="Bankinter"/>
          <w:color w:val="000000"/>
        </w:rPr>
        <w:t>.</w:t>
      </w:r>
      <w:r>
        <w:rPr>
          <w:rFonts w:ascii="Bankinter" w:hAnsi="Bankinter" w:cs="Bankinter"/>
          <w:color w:val="000000" w:themeColor="text1"/>
          <w:sz w:val="20"/>
          <w:szCs w:val="20"/>
          <w:lang w:val="es-ES_tradnl"/>
        </w:rPr>
        <w:t xml:space="preserve"> De hecho, de los aproximadamente 200 millones de euros en los que se ha incrementado el riesgo crediticio dudoso respecto al pasado trimestre, 144 millones son consecuencia de este cambio de criterio.</w:t>
      </w: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lang w:val="es-ES_tradnl"/>
        </w:rPr>
      </w:pPr>
    </w:p>
    <w:p w:rsidR="007771C6" w:rsidRPr="005319D5" w:rsidRDefault="007771C6" w:rsidP="007771C6">
      <w:pPr>
        <w:autoSpaceDE w:val="0"/>
        <w:autoSpaceDN w:val="0"/>
        <w:adjustRightInd w:val="0"/>
        <w:spacing w:after="0" w:line="240" w:lineRule="auto"/>
        <w:jc w:val="both"/>
        <w:rPr>
          <w:rFonts w:ascii="Bankinter" w:hAnsi="Bankinter" w:cs="Bankinter"/>
          <w:strike/>
          <w:color w:val="000000" w:themeColor="text1"/>
          <w:sz w:val="20"/>
          <w:szCs w:val="20"/>
        </w:rPr>
      </w:pPr>
      <w:r w:rsidRPr="005319D5">
        <w:rPr>
          <w:rFonts w:ascii="Bankinter" w:hAnsi="Bankinter" w:cs="Bankinter"/>
          <w:color w:val="000000" w:themeColor="text1"/>
          <w:sz w:val="20"/>
          <w:szCs w:val="20"/>
        </w:rPr>
        <w:t xml:space="preserve">La cartera refinanciada de Bankinter al cierre del tercer trimestre es de 1.719 millones de euros, lo que supone un 3,8% sobre el </w:t>
      </w:r>
      <w:r w:rsidRPr="004C1482">
        <w:rPr>
          <w:rFonts w:ascii="Bankinter" w:hAnsi="Bankinter" w:cs="Bankinter"/>
          <w:bCs/>
          <w:color w:val="000000"/>
          <w:sz w:val="20"/>
          <w:szCs w:val="20"/>
        </w:rPr>
        <w:t>total riesgo computable</w:t>
      </w:r>
      <w:r>
        <w:rPr>
          <w:rFonts w:ascii="Bankinter" w:hAnsi="Bankinter" w:cs="Bankinter"/>
          <w:bCs/>
          <w:color w:val="000000"/>
          <w:sz w:val="20"/>
          <w:szCs w:val="20"/>
        </w:rPr>
        <w:t xml:space="preserve">, </w:t>
      </w:r>
      <w:r w:rsidRPr="005319D5">
        <w:rPr>
          <w:rFonts w:ascii="Bankinter" w:hAnsi="Bankinter" w:cs="Bankinter"/>
          <w:color w:val="000000" w:themeColor="text1"/>
          <w:sz w:val="20"/>
          <w:szCs w:val="20"/>
        </w:rPr>
        <w:t>frente al 11% de media de los bancos comparables. Sobre esa cartera refinanciada, un 39% se encuentra en situación de ‘normal’, un 22% en ‘</w:t>
      </w:r>
      <w:proofErr w:type="spellStart"/>
      <w:r w:rsidRPr="005319D5">
        <w:rPr>
          <w:rFonts w:ascii="Bankinter" w:hAnsi="Bankinter" w:cs="Bankinter"/>
          <w:color w:val="000000" w:themeColor="text1"/>
          <w:sz w:val="20"/>
          <w:szCs w:val="20"/>
        </w:rPr>
        <w:t>subestándar</w:t>
      </w:r>
      <w:proofErr w:type="spellEnd"/>
      <w:r w:rsidRPr="005319D5">
        <w:rPr>
          <w:rFonts w:ascii="Bankinter" w:hAnsi="Bankinter" w:cs="Bankinter"/>
          <w:color w:val="000000" w:themeColor="text1"/>
          <w:sz w:val="20"/>
          <w:szCs w:val="20"/>
        </w:rPr>
        <w:t>’ y un 39% en mora.</w:t>
      </w:r>
    </w:p>
    <w:p w:rsidR="007771C6" w:rsidRDefault="007771C6" w:rsidP="007771C6">
      <w:pPr>
        <w:autoSpaceDE w:val="0"/>
        <w:autoSpaceDN w:val="0"/>
        <w:adjustRightInd w:val="0"/>
        <w:spacing w:after="0" w:line="240" w:lineRule="auto"/>
        <w:jc w:val="both"/>
        <w:rPr>
          <w:rFonts w:cs="Bankinter"/>
          <w:color w:val="000000" w:themeColor="text1"/>
          <w:sz w:val="20"/>
          <w:szCs w:val="20"/>
          <w:lang w:val="es-ES_tradnl"/>
        </w:rPr>
      </w:pPr>
    </w:p>
    <w:p w:rsidR="007771C6" w:rsidRPr="005E5C6A" w:rsidRDefault="007771C6" w:rsidP="005E5C6A">
      <w:pPr>
        <w:autoSpaceDE w:val="0"/>
        <w:autoSpaceDN w:val="0"/>
        <w:adjustRightInd w:val="0"/>
        <w:spacing w:after="0" w:line="240" w:lineRule="auto"/>
        <w:jc w:val="both"/>
        <w:rPr>
          <w:rFonts w:ascii="Bankinter" w:hAnsi="Bankinter" w:cs="Bankinter"/>
          <w:color w:val="000000" w:themeColor="text1"/>
          <w:sz w:val="20"/>
          <w:szCs w:val="20"/>
        </w:rPr>
      </w:pPr>
      <w:r w:rsidRPr="005E5C6A">
        <w:rPr>
          <w:rFonts w:cs="Bankinter"/>
          <w:color w:val="000000" w:themeColor="text1"/>
          <w:sz w:val="20"/>
          <w:szCs w:val="20"/>
          <w:lang w:val="es-ES_tradnl"/>
        </w:rPr>
        <w:t xml:space="preserve">Asimismo, </w:t>
      </w:r>
      <w:r w:rsidR="008377EC" w:rsidRPr="005E5C6A">
        <w:rPr>
          <w:rFonts w:ascii="Bankinter" w:hAnsi="Bankinter" w:cs="Bankinter"/>
          <w:color w:val="000000" w:themeColor="text1"/>
          <w:sz w:val="20"/>
          <w:szCs w:val="20"/>
        </w:rPr>
        <w:t xml:space="preserve">Bankinter tiene una cartera de activos adjudicados </w:t>
      </w:r>
      <w:r w:rsidRPr="005E5C6A">
        <w:rPr>
          <w:rFonts w:ascii="Bankinter" w:hAnsi="Bankinter" w:cs="Bankinter"/>
          <w:color w:val="000000" w:themeColor="text1"/>
          <w:sz w:val="20"/>
          <w:szCs w:val="20"/>
        </w:rPr>
        <w:t xml:space="preserve">muy reducida, de calidad, especialmente concentrada en viviendas y, en todos los casos, con </w:t>
      </w:r>
      <w:r w:rsidRPr="005E5C6A">
        <w:rPr>
          <w:rFonts w:ascii="Bankinter" w:hAnsi="Bankinter" w:cs="Bankinter"/>
          <w:color w:val="000000" w:themeColor="text1"/>
          <w:sz w:val="20"/>
          <w:szCs w:val="20"/>
          <w:lang w:val="es-ES_tradnl"/>
        </w:rPr>
        <w:t xml:space="preserve">coberturas </w:t>
      </w:r>
      <w:r w:rsidRPr="005E5C6A">
        <w:rPr>
          <w:rFonts w:ascii="Bankinter" w:hAnsi="Bankinter" w:cs="Bankinter"/>
          <w:color w:val="000000" w:themeColor="text1"/>
          <w:sz w:val="20"/>
          <w:szCs w:val="20"/>
          <w:lang w:val="es-ES_tradnl"/>
        </w:rPr>
        <w:lastRenderedPageBreak/>
        <w:t>adecuadas a sus riesgos</w:t>
      </w:r>
      <w:r w:rsidRPr="005E5C6A">
        <w:rPr>
          <w:rFonts w:ascii="Bankinter" w:hAnsi="Bankinter" w:cs="Bankinter"/>
          <w:color w:val="000000" w:themeColor="text1"/>
          <w:sz w:val="20"/>
          <w:szCs w:val="20"/>
        </w:rPr>
        <w:t>. El valor bruto de la cartera es de 643,5 millones de euros, con una cobertura del 37,5%. Es destacable, además, que el banco lleva a un ritmo extraordinario su venta. Así, las ventas brutas de estos activos representaron un 85% de todas las entradas brutas producidas durante estos nueve primeros meses del año.</w:t>
      </w:r>
    </w:p>
    <w:p w:rsidR="007771C6" w:rsidRPr="005E5C6A" w:rsidRDefault="007771C6" w:rsidP="005E5C6A">
      <w:pPr>
        <w:autoSpaceDE w:val="0"/>
        <w:autoSpaceDN w:val="0"/>
        <w:adjustRightInd w:val="0"/>
        <w:spacing w:after="0" w:line="240" w:lineRule="auto"/>
        <w:jc w:val="both"/>
        <w:rPr>
          <w:rFonts w:ascii="Bankinter" w:hAnsi="Bankinter" w:cs="Bankinter"/>
          <w:color w:val="000000" w:themeColor="text1"/>
          <w:sz w:val="20"/>
          <w:szCs w:val="20"/>
        </w:rPr>
      </w:pPr>
    </w:p>
    <w:p w:rsidR="007771C6" w:rsidRPr="005E5C6A" w:rsidRDefault="007771C6" w:rsidP="005E5C6A">
      <w:pPr>
        <w:autoSpaceDE w:val="0"/>
        <w:autoSpaceDN w:val="0"/>
        <w:adjustRightInd w:val="0"/>
        <w:spacing w:after="0" w:line="240" w:lineRule="auto"/>
        <w:jc w:val="both"/>
        <w:rPr>
          <w:rFonts w:cs="Bankinter"/>
          <w:color w:val="000000" w:themeColor="text1"/>
          <w:sz w:val="20"/>
          <w:szCs w:val="20"/>
        </w:rPr>
      </w:pPr>
      <w:r w:rsidRPr="005E5C6A">
        <w:rPr>
          <w:rFonts w:cs="Bankinter"/>
          <w:color w:val="000000" w:themeColor="text1"/>
          <w:sz w:val="20"/>
          <w:szCs w:val="20"/>
        </w:rPr>
        <w:t xml:space="preserve">En cuanto a la solvencia, Bankinter sigue fortaleciendo sus ratios de capital, </w:t>
      </w:r>
      <w:r w:rsidR="00035831" w:rsidRPr="005E5C6A">
        <w:rPr>
          <w:rFonts w:cs="Bankinter"/>
          <w:color w:val="000000" w:themeColor="text1"/>
          <w:sz w:val="20"/>
          <w:szCs w:val="20"/>
        </w:rPr>
        <w:t xml:space="preserve">y </w:t>
      </w:r>
      <w:r w:rsidRPr="005E5C6A">
        <w:rPr>
          <w:rFonts w:cs="Bankinter"/>
          <w:color w:val="000000" w:themeColor="text1"/>
          <w:sz w:val="20"/>
          <w:szCs w:val="20"/>
        </w:rPr>
        <w:t>alcanza al cierre del tercer trimestre un ratio de capital EBA del 11,7%, debido fundamentalmente a la propia generación de resultados recurrentes y a una rebaja en las exigencias de capital para cubrir los créditos a pymes.</w:t>
      </w:r>
    </w:p>
    <w:p w:rsidR="007771C6" w:rsidRDefault="007771C6" w:rsidP="007771C6">
      <w:pPr>
        <w:autoSpaceDE w:val="0"/>
        <w:autoSpaceDN w:val="0"/>
        <w:adjustRightInd w:val="0"/>
        <w:spacing w:after="0" w:line="240" w:lineRule="auto"/>
        <w:jc w:val="both"/>
        <w:rPr>
          <w:rFonts w:cs="Bankinter"/>
          <w:color w:val="000000" w:themeColor="text1"/>
          <w:sz w:val="20"/>
          <w:szCs w:val="20"/>
        </w:rPr>
      </w:pPr>
    </w:p>
    <w:p w:rsidR="007771C6" w:rsidRDefault="007771C6" w:rsidP="007771C6">
      <w:pPr>
        <w:autoSpaceDE w:val="0"/>
        <w:autoSpaceDN w:val="0"/>
        <w:adjustRightInd w:val="0"/>
        <w:spacing w:after="0" w:line="240" w:lineRule="auto"/>
        <w:jc w:val="both"/>
        <w:rPr>
          <w:rFonts w:cs="Bankinter"/>
          <w:color w:val="000000" w:themeColor="text1"/>
          <w:sz w:val="20"/>
          <w:szCs w:val="20"/>
          <w:lang w:val="es-ES_tradnl"/>
        </w:rPr>
      </w:pPr>
      <w:r w:rsidRPr="009539CA">
        <w:rPr>
          <w:rFonts w:cs="Bankinter"/>
          <w:color w:val="000000" w:themeColor="text1"/>
          <w:sz w:val="20"/>
          <w:szCs w:val="20"/>
        </w:rPr>
        <w:t xml:space="preserve">Cabe destacar, igualmente, que el banco no cuenta con vencimientos de emisiones mayoristas hasta el cuarto trimestre de 2014 (1.200 millones de euros), </w:t>
      </w:r>
      <w:r>
        <w:rPr>
          <w:rFonts w:cs="Bankinter"/>
          <w:color w:val="000000" w:themeColor="text1"/>
          <w:sz w:val="20"/>
          <w:szCs w:val="20"/>
        </w:rPr>
        <w:t>y otros 1.200 millones en 2015. Para</w:t>
      </w:r>
      <w:r w:rsidRPr="009539CA">
        <w:rPr>
          <w:rFonts w:cs="Bankinter"/>
          <w:color w:val="000000" w:themeColor="text1"/>
          <w:sz w:val="20"/>
          <w:szCs w:val="20"/>
        </w:rPr>
        <w:t xml:space="preserve"> afrontar </w:t>
      </w:r>
      <w:r>
        <w:rPr>
          <w:rFonts w:cs="Bankinter"/>
          <w:color w:val="000000" w:themeColor="text1"/>
          <w:sz w:val="20"/>
          <w:szCs w:val="20"/>
        </w:rPr>
        <w:t>esos vencimientos</w:t>
      </w:r>
      <w:r w:rsidRPr="009539CA">
        <w:rPr>
          <w:rFonts w:cs="Bankinter"/>
          <w:color w:val="000000" w:themeColor="text1"/>
          <w:sz w:val="20"/>
          <w:szCs w:val="20"/>
        </w:rPr>
        <w:t xml:space="preserve"> </w:t>
      </w:r>
      <w:r w:rsidRPr="009539CA">
        <w:rPr>
          <w:rFonts w:cs="Bankinter"/>
          <w:color w:val="000000" w:themeColor="text1"/>
          <w:sz w:val="20"/>
          <w:szCs w:val="20"/>
          <w:lang w:val="es-ES_tradnl"/>
        </w:rPr>
        <w:t xml:space="preserve">el banco </w:t>
      </w:r>
      <w:r w:rsidR="00035831">
        <w:rPr>
          <w:rFonts w:cs="Bankinter"/>
          <w:color w:val="000000" w:themeColor="text1"/>
          <w:sz w:val="20"/>
          <w:szCs w:val="20"/>
          <w:lang w:val="es-ES_tradnl"/>
        </w:rPr>
        <w:t>dispone de</w:t>
      </w:r>
      <w:r w:rsidRPr="009539CA">
        <w:rPr>
          <w:rFonts w:cs="Bankinter"/>
          <w:color w:val="000000" w:themeColor="text1"/>
          <w:sz w:val="20"/>
          <w:szCs w:val="20"/>
          <w:lang w:val="es-ES_tradnl"/>
        </w:rPr>
        <w:t xml:space="preserve"> 6.300 millones de euros en activos líquidos.</w:t>
      </w:r>
    </w:p>
    <w:p w:rsidR="007771C6" w:rsidRDefault="007771C6" w:rsidP="007771C6">
      <w:pPr>
        <w:autoSpaceDE w:val="0"/>
        <w:autoSpaceDN w:val="0"/>
        <w:adjustRightInd w:val="0"/>
        <w:spacing w:after="0" w:line="240" w:lineRule="auto"/>
        <w:jc w:val="both"/>
        <w:rPr>
          <w:rFonts w:cs="Bankinter"/>
          <w:color w:val="000000" w:themeColor="text1"/>
          <w:sz w:val="20"/>
          <w:szCs w:val="20"/>
          <w:lang w:val="es-ES_tradnl"/>
        </w:rPr>
      </w:pPr>
    </w:p>
    <w:p w:rsidR="007771C6" w:rsidRPr="009A501F" w:rsidRDefault="007771C6" w:rsidP="007771C6">
      <w:pPr>
        <w:autoSpaceDE w:val="0"/>
        <w:autoSpaceDN w:val="0"/>
        <w:adjustRightInd w:val="0"/>
        <w:spacing w:after="0" w:line="240" w:lineRule="auto"/>
        <w:jc w:val="both"/>
        <w:rPr>
          <w:rFonts w:cs="Bankinter"/>
          <w:color w:val="000000" w:themeColor="text1"/>
          <w:sz w:val="20"/>
          <w:szCs w:val="20"/>
          <w:lang w:val="es-ES_tradnl"/>
        </w:rPr>
      </w:pPr>
      <w:r w:rsidRPr="009A501F">
        <w:rPr>
          <w:rFonts w:cs="Bankinter"/>
          <w:color w:val="000000" w:themeColor="text1"/>
          <w:sz w:val="20"/>
          <w:szCs w:val="20"/>
          <w:lang w:val="es-ES_tradnl"/>
        </w:rPr>
        <w:t xml:space="preserve">En la misma línea, el banco ha seguido optimizando su estructura de financiación, reduciendo su gap de liquidez a lo largo de 2013 en 2.600 millones, y reforzando el ratio de depósitos sobre créditos, </w:t>
      </w:r>
      <w:r w:rsidRPr="009A501F">
        <w:rPr>
          <w:rFonts w:cs="Bankinter"/>
          <w:color w:val="000000" w:themeColor="text1"/>
          <w:sz w:val="20"/>
          <w:szCs w:val="20"/>
        </w:rPr>
        <w:t>que alcanza a 30 de septiembre de 2013 el 71,8% frente al 64,9% de hace un año.</w:t>
      </w:r>
    </w:p>
    <w:p w:rsidR="008377EC" w:rsidRPr="007771C6" w:rsidRDefault="008377EC" w:rsidP="008377EC">
      <w:pPr>
        <w:autoSpaceDE w:val="0"/>
        <w:autoSpaceDN w:val="0"/>
        <w:adjustRightInd w:val="0"/>
        <w:spacing w:after="0" w:line="240" w:lineRule="auto"/>
        <w:jc w:val="both"/>
        <w:rPr>
          <w:rFonts w:ascii="Bankinter" w:hAnsi="Bankinter" w:cs="Bankinter"/>
          <w:color w:val="FF0000"/>
          <w:sz w:val="20"/>
          <w:szCs w:val="20"/>
          <w:lang w:val="es-ES_tradnl"/>
        </w:rPr>
      </w:pPr>
    </w:p>
    <w:p w:rsidR="007771C6" w:rsidRPr="005E5C6A" w:rsidRDefault="007771C6" w:rsidP="007771C6">
      <w:pPr>
        <w:autoSpaceDE w:val="0"/>
        <w:autoSpaceDN w:val="0"/>
        <w:adjustRightInd w:val="0"/>
        <w:spacing w:after="0" w:line="240" w:lineRule="auto"/>
        <w:jc w:val="both"/>
        <w:rPr>
          <w:rFonts w:ascii="Bankinter" w:hAnsi="Bankinter" w:cs="Bankinter"/>
          <w:b/>
          <w:color w:val="000000" w:themeColor="text1"/>
          <w:sz w:val="20"/>
          <w:szCs w:val="20"/>
          <w:u w:val="single"/>
        </w:rPr>
      </w:pPr>
      <w:r w:rsidRPr="005E5C6A">
        <w:rPr>
          <w:rFonts w:ascii="Bankinter" w:hAnsi="Bankinter" w:cs="Bankinter"/>
          <w:b/>
          <w:color w:val="000000" w:themeColor="text1"/>
          <w:sz w:val="20"/>
          <w:szCs w:val="20"/>
          <w:u w:val="single"/>
        </w:rPr>
        <w:t>Márgenes, en una tendencia de constante mejora</w:t>
      </w:r>
      <w:r w:rsidR="008377EC" w:rsidRPr="005E5C6A">
        <w:rPr>
          <w:rFonts w:ascii="Bankinter" w:hAnsi="Bankinter" w:cs="Bankinter"/>
          <w:b/>
          <w:color w:val="000000" w:themeColor="text1"/>
          <w:sz w:val="20"/>
          <w:szCs w:val="20"/>
          <w:u w:val="single"/>
        </w:rPr>
        <w:t>.</w:t>
      </w:r>
    </w:p>
    <w:p w:rsidR="007771C6" w:rsidRPr="005E5C6A" w:rsidRDefault="007771C6" w:rsidP="007771C6">
      <w:pPr>
        <w:autoSpaceDE w:val="0"/>
        <w:autoSpaceDN w:val="0"/>
        <w:adjustRightInd w:val="0"/>
        <w:spacing w:after="0" w:line="240" w:lineRule="auto"/>
        <w:jc w:val="both"/>
        <w:rPr>
          <w:rFonts w:ascii="Bankinter" w:hAnsi="Bankinter" w:cs="Bankinter"/>
          <w:b/>
          <w:color w:val="000000" w:themeColor="text1"/>
          <w:sz w:val="20"/>
          <w:szCs w:val="20"/>
          <w:u w:val="single"/>
        </w:rPr>
      </w:pPr>
    </w:p>
    <w:p w:rsidR="007771C6" w:rsidRPr="005E5C6A" w:rsidRDefault="008377EC" w:rsidP="007771C6">
      <w:pPr>
        <w:autoSpaceDE w:val="0"/>
        <w:autoSpaceDN w:val="0"/>
        <w:adjustRightInd w:val="0"/>
        <w:spacing w:after="0" w:line="240" w:lineRule="auto"/>
        <w:jc w:val="both"/>
        <w:rPr>
          <w:rFonts w:cs="Bankinter"/>
          <w:color w:val="000000" w:themeColor="text1"/>
          <w:sz w:val="20"/>
          <w:szCs w:val="20"/>
          <w:lang w:val="es-ES_tradnl"/>
        </w:rPr>
      </w:pPr>
      <w:r w:rsidRPr="005E5C6A">
        <w:rPr>
          <w:rFonts w:ascii="Bankinter" w:hAnsi="Bankinter" w:cs="Bankinter"/>
          <w:color w:val="000000" w:themeColor="text1"/>
          <w:sz w:val="20"/>
          <w:szCs w:val="20"/>
        </w:rPr>
        <w:t xml:space="preserve">Por lo que se refiere a los diferentes márgenes de la cuenta de resultados, el de intereses </w:t>
      </w:r>
      <w:r w:rsidR="007771C6" w:rsidRPr="005E5C6A">
        <w:rPr>
          <w:rFonts w:cs="Bankinter"/>
          <w:color w:val="000000" w:themeColor="text1"/>
          <w:sz w:val="20"/>
          <w:szCs w:val="20"/>
        </w:rPr>
        <w:t xml:space="preserve">alcanza al cierre del tercer trimestre los 461,9 millones de euros, lo que supone una reducción del 10% respecto al mismo dato a 30 de septiembre de 2012, debido fundamentalmente a la brusca caída experimentada por el Euribor a 1 año, que sigue en mínimos históricos. No obstante, esta reducción del margen continúa recuperándose después de haber tocado fondo en el primer trimestre. De hecho, el margen de intereses de este tercer trimestre fue de 173,5 millones, lo que significa un 11,3% más que el del segundo trimestre del año, que a su vez ya fue un 17,5% superior al del primer trimestre. Todo ello </w:t>
      </w:r>
      <w:r w:rsidR="007771C6" w:rsidRPr="005E5C6A">
        <w:rPr>
          <w:rFonts w:cs="Bankinter"/>
          <w:color w:val="000000" w:themeColor="text1"/>
          <w:sz w:val="20"/>
          <w:szCs w:val="20"/>
          <w:lang w:val="es-ES_tradnl"/>
        </w:rPr>
        <w:t>debido a una positiva evolución del margen de clientes y a los menores costes de financiación.</w:t>
      </w:r>
    </w:p>
    <w:p w:rsidR="007771C6" w:rsidRDefault="007771C6" w:rsidP="007771C6">
      <w:pPr>
        <w:autoSpaceDE w:val="0"/>
        <w:autoSpaceDN w:val="0"/>
        <w:adjustRightInd w:val="0"/>
        <w:spacing w:after="0" w:line="240" w:lineRule="auto"/>
        <w:jc w:val="both"/>
        <w:rPr>
          <w:rFonts w:cs="Bankinter"/>
          <w:color w:val="000000" w:themeColor="text1"/>
          <w:sz w:val="20"/>
          <w:szCs w:val="20"/>
          <w:lang w:val="es-ES_tradnl"/>
        </w:rPr>
      </w:pP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rPr>
      </w:pPr>
      <w:r>
        <w:rPr>
          <w:rFonts w:ascii="Bankinter" w:hAnsi="Bankinter" w:cs="Bankinter"/>
          <w:color w:val="000000" w:themeColor="text1"/>
          <w:sz w:val="20"/>
          <w:szCs w:val="20"/>
        </w:rPr>
        <w:t>Por lo que se refiere al margen bruto y al margen antes de provisiones, Bankinter sigue incrementando las cifras de crecimiento trimestre a trimestre. Algo especialmente reseñable en el actual entorno de dificultad.</w:t>
      </w: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rPr>
      </w:pP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rPr>
      </w:pPr>
      <w:r>
        <w:rPr>
          <w:rFonts w:ascii="Bankinter" w:hAnsi="Bankinter" w:cs="Bankinter"/>
          <w:color w:val="000000" w:themeColor="text1"/>
          <w:sz w:val="20"/>
          <w:szCs w:val="20"/>
        </w:rPr>
        <w:t>Así el margen bruto</w:t>
      </w:r>
      <w:r w:rsidRPr="00FB0A74">
        <w:rPr>
          <w:rFonts w:ascii="Bankinter" w:hAnsi="Bankinter" w:cs="Bankinter"/>
          <w:color w:val="000000" w:themeColor="text1"/>
          <w:sz w:val="20"/>
          <w:szCs w:val="20"/>
        </w:rPr>
        <w:t xml:space="preserve"> se sitúa a 30 de </w:t>
      </w:r>
      <w:r>
        <w:rPr>
          <w:rFonts w:ascii="Bankinter" w:hAnsi="Bankinter" w:cs="Bankinter"/>
          <w:color w:val="000000" w:themeColor="text1"/>
          <w:sz w:val="20"/>
          <w:szCs w:val="20"/>
        </w:rPr>
        <w:t>septiembre</w:t>
      </w:r>
      <w:r w:rsidRPr="00FB0A74">
        <w:rPr>
          <w:rFonts w:ascii="Bankinter" w:hAnsi="Bankinter" w:cs="Bankinter"/>
          <w:color w:val="000000" w:themeColor="text1"/>
          <w:sz w:val="20"/>
          <w:szCs w:val="20"/>
        </w:rPr>
        <w:t xml:space="preserve"> en los </w:t>
      </w:r>
      <w:r>
        <w:rPr>
          <w:rFonts w:ascii="Bankinter" w:hAnsi="Bankinter" w:cs="Bankinter"/>
          <w:color w:val="000000" w:themeColor="text1"/>
          <w:sz w:val="20"/>
          <w:szCs w:val="20"/>
        </w:rPr>
        <w:t>993,4</w:t>
      </w:r>
      <w:r w:rsidRPr="00FB0A74">
        <w:rPr>
          <w:rFonts w:ascii="Bankinter" w:hAnsi="Bankinter" w:cs="Bankinter"/>
          <w:color w:val="000000" w:themeColor="text1"/>
          <w:sz w:val="20"/>
          <w:szCs w:val="20"/>
        </w:rPr>
        <w:t xml:space="preserve"> millones d</w:t>
      </w:r>
      <w:r>
        <w:rPr>
          <w:rFonts w:ascii="Bankinter" w:hAnsi="Bankinter" w:cs="Bankinter"/>
          <w:color w:val="000000" w:themeColor="text1"/>
          <w:sz w:val="20"/>
          <w:szCs w:val="20"/>
        </w:rPr>
        <w:t>e euros, lo que supone un 4,2</w:t>
      </w:r>
      <w:r w:rsidRPr="00FB0A74">
        <w:rPr>
          <w:rFonts w:ascii="Bankinter" w:hAnsi="Bankinter" w:cs="Bankinter"/>
          <w:color w:val="000000" w:themeColor="text1"/>
          <w:sz w:val="20"/>
          <w:szCs w:val="20"/>
        </w:rPr>
        <w:t xml:space="preserve">% más que </w:t>
      </w:r>
      <w:r>
        <w:rPr>
          <w:rFonts w:ascii="Bankinter" w:hAnsi="Bankinter" w:cs="Bankinter"/>
          <w:color w:val="000000" w:themeColor="text1"/>
          <w:sz w:val="20"/>
          <w:szCs w:val="20"/>
        </w:rPr>
        <w:t>hace un a</w:t>
      </w:r>
      <w:r w:rsidRPr="00FB0A74">
        <w:rPr>
          <w:rFonts w:ascii="Bankinter" w:hAnsi="Bankinter" w:cs="Bankinter"/>
          <w:color w:val="000000" w:themeColor="text1"/>
          <w:sz w:val="20"/>
          <w:szCs w:val="20"/>
        </w:rPr>
        <w:t>ño</w:t>
      </w:r>
      <w:r>
        <w:rPr>
          <w:rFonts w:ascii="Bankinter" w:hAnsi="Bankinter" w:cs="Bankinter"/>
          <w:color w:val="000000" w:themeColor="text1"/>
          <w:sz w:val="20"/>
          <w:szCs w:val="20"/>
        </w:rPr>
        <w:t xml:space="preserve"> (el crecimiento a junio fue del 2,4%)</w:t>
      </w:r>
      <w:r w:rsidRPr="00FB0A74">
        <w:rPr>
          <w:rFonts w:ascii="Bankinter" w:hAnsi="Bankinter" w:cs="Bankinter"/>
          <w:color w:val="000000" w:themeColor="text1"/>
          <w:sz w:val="20"/>
          <w:szCs w:val="20"/>
        </w:rPr>
        <w:t>,</w:t>
      </w:r>
      <w:r w:rsidRPr="00106626">
        <w:rPr>
          <w:rFonts w:ascii="Bankinter" w:hAnsi="Bankinter" w:cs="Bankinter"/>
          <w:color w:val="000000" w:themeColor="text1"/>
          <w:sz w:val="20"/>
          <w:szCs w:val="20"/>
        </w:rPr>
        <w:t xml:space="preserve"> gracias al buen comportamiento de las comisiones netas, que crecieron durante el periodo un 18</w:t>
      </w:r>
      <w:r>
        <w:rPr>
          <w:rFonts w:ascii="Bankinter" w:hAnsi="Bankinter" w:cs="Bankinter"/>
          <w:color w:val="000000" w:themeColor="text1"/>
          <w:sz w:val="20"/>
          <w:szCs w:val="20"/>
        </w:rPr>
        <w:t>,5</w:t>
      </w:r>
      <w:r w:rsidRPr="00106626">
        <w:rPr>
          <w:rFonts w:ascii="Bankinter" w:hAnsi="Bankinter" w:cs="Bankinter"/>
          <w:color w:val="000000" w:themeColor="text1"/>
          <w:sz w:val="20"/>
          <w:szCs w:val="20"/>
        </w:rPr>
        <w:t xml:space="preserve">%, </w:t>
      </w:r>
      <w:r>
        <w:rPr>
          <w:rFonts w:ascii="Bankinter" w:hAnsi="Bankinter" w:cs="Bankinter"/>
          <w:color w:val="000000" w:themeColor="text1"/>
          <w:sz w:val="20"/>
          <w:szCs w:val="20"/>
        </w:rPr>
        <w:t>debido en gran medida a la actividad de banca p</w:t>
      </w:r>
      <w:r w:rsidRPr="00106626">
        <w:rPr>
          <w:rFonts w:ascii="Bankinter" w:hAnsi="Bankinter" w:cs="Bankinter"/>
          <w:color w:val="000000" w:themeColor="text1"/>
          <w:sz w:val="20"/>
          <w:szCs w:val="20"/>
        </w:rPr>
        <w:t xml:space="preserve">rivada y </w:t>
      </w:r>
      <w:r>
        <w:rPr>
          <w:rFonts w:ascii="Bankinter" w:hAnsi="Bankinter" w:cs="Bankinter"/>
          <w:color w:val="000000" w:themeColor="text1"/>
          <w:sz w:val="20"/>
          <w:szCs w:val="20"/>
        </w:rPr>
        <w:t>el  n</w:t>
      </w:r>
      <w:r w:rsidRPr="00106626">
        <w:rPr>
          <w:rFonts w:ascii="Bankinter" w:hAnsi="Bankinter" w:cs="Bankinter"/>
          <w:color w:val="000000" w:themeColor="text1"/>
          <w:sz w:val="20"/>
          <w:szCs w:val="20"/>
        </w:rPr>
        <w:t xml:space="preserve">egocio de </w:t>
      </w:r>
      <w:r>
        <w:rPr>
          <w:rFonts w:ascii="Bankinter" w:hAnsi="Bankinter" w:cs="Bankinter"/>
          <w:color w:val="000000" w:themeColor="text1"/>
          <w:sz w:val="20"/>
          <w:szCs w:val="20"/>
        </w:rPr>
        <w:t>e</w:t>
      </w:r>
      <w:r w:rsidRPr="00106626">
        <w:rPr>
          <w:rFonts w:ascii="Bankinter" w:hAnsi="Bankinter" w:cs="Bankinter"/>
          <w:color w:val="000000" w:themeColor="text1"/>
          <w:sz w:val="20"/>
          <w:szCs w:val="20"/>
        </w:rPr>
        <w:t>mpresas.</w:t>
      </w: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rPr>
      </w:pP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rPr>
      </w:pPr>
      <w:r w:rsidRPr="00106626">
        <w:rPr>
          <w:rFonts w:ascii="Bankinter" w:hAnsi="Bankinter" w:cs="Bankinter"/>
          <w:color w:val="000000" w:themeColor="text1"/>
          <w:sz w:val="20"/>
          <w:szCs w:val="20"/>
        </w:rPr>
        <w:t xml:space="preserve">Y por lo que se refiere al margen antes de provisiones (492,6 millones de euros a 30 de septiembre de 2013), experimentó </w:t>
      </w:r>
      <w:r>
        <w:rPr>
          <w:rFonts w:ascii="Bankinter" w:hAnsi="Bankinter" w:cs="Bankinter"/>
          <w:color w:val="000000" w:themeColor="text1"/>
          <w:sz w:val="20"/>
          <w:szCs w:val="20"/>
        </w:rPr>
        <w:t xml:space="preserve">durante el año </w:t>
      </w:r>
      <w:r w:rsidRPr="00106626">
        <w:rPr>
          <w:rFonts w:ascii="Bankinter" w:hAnsi="Bankinter" w:cs="Bankinter"/>
          <w:color w:val="000000" w:themeColor="text1"/>
          <w:sz w:val="20"/>
          <w:szCs w:val="20"/>
        </w:rPr>
        <w:t>un crecimiento del</w:t>
      </w:r>
      <w:r>
        <w:rPr>
          <w:rFonts w:ascii="Bankinter" w:hAnsi="Bankinter" w:cs="Bankinter"/>
          <w:color w:val="000000" w:themeColor="text1"/>
          <w:sz w:val="20"/>
          <w:szCs w:val="20"/>
        </w:rPr>
        <w:t xml:space="preserve"> 9,4</w:t>
      </w:r>
      <w:r w:rsidRPr="00106626">
        <w:rPr>
          <w:rFonts w:ascii="Bankinter" w:hAnsi="Bankinter" w:cs="Bankinter"/>
          <w:color w:val="000000" w:themeColor="text1"/>
          <w:sz w:val="20"/>
          <w:szCs w:val="20"/>
        </w:rPr>
        <w:t xml:space="preserve">% </w:t>
      </w:r>
      <w:r>
        <w:rPr>
          <w:rFonts w:ascii="Bankinter" w:hAnsi="Bankinter" w:cs="Bankinter"/>
          <w:color w:val="000000" w:themeColor="text1"/>
          <w:sz w:val="20"/>
          <w:szCs w:val="20"/>
        </w:rPr>
        <w:t>(el crecimiento a junio fue del 6,1%)</w:t>
      </w:r>
      <w:r w:rsidRPr="00106626">
        <w:rPr>
          <w:rFonts w:ascii="Bankinter" w:hAnsi="Bankinter" w:cs="Bankinter"/>
          <w:color w:val="000000" w:themeColor="text1"/>
          <w:sz w:val="20"/>
          <w:szCs w:val="20"/>
        </w:rPr>
        <w:t xml:space="preserve"> lo que ha permitido absorber las provisiones adicionales requeridas po</w:t>
      </w:r>
      <w:r>
        <w:rPr>
          <w:rFonts w:ascii="Bankinter" w:hAnsi="Bankinter" w:cs="Bankinter"/>
          <w:color w:val="000000" w:themeColor="text1"/>
          <w:sz w:val="20"/>
          <w:szCs w:val="20"/>
        </w:rPr>
        <w:t xml:space="preserve">r el supervisor relativas a la revisión de las </w:t>
      </w:r>
      <w:r w:rsidRPr="00106626">
        <w:rPr>
          <w:rFonts w:ascii="Bankinter" w:hAnsi="Bankinter" w:cs="Bankinter"/>
          <w:color w:val="000000" w:themeColor="text1"/>
          <w:sz w:val="20"/>
          <w:szCs w:val="20"/>
        </w:rPr>
        <w:t>refinanciaciones</w:t>
      </w:r>
      <w:r>
        <w:rPr>
          <w:rFonts w:ascii="Bankinter" w:hAnsi="Bankinter" w:cs="Bankinter"/>
          <w:color w:val="000000" w:themeColor="text1"/>
          <w:sz w:val="20"/>
          <w:szCs w:val="20"/>
        </w:rPr>
        <w:t>, que ha supuesto un impacto añadido de 19,6 millones</w:t>
      </w:r>
      <w:r w:rsidRPr="00106626">
        <w:rPr>
          <w:rFonts w:ascii="Bankinter" w:hAnsi="Bankinter" w:cs="Bankinter"/>
          <w:color w:val="000000" w:themeColor="text1"/>
          <w:sz w:val="20"/>
          <w:szCs w:val="20"/>
        </w:rPr>
        <w:t>.</w:t>
      </w:r>
    </w:p>
    <w:p w:rsidR="007771C6" w:rsidRDefault="007771C6" w:rsidP="007771C6">
      <w:pPr>
        <w:autoSpaceDE w:val="0"/>
        <w:autoSpaceDN w:val="0"/>
        <w:adjustRightInd w:val="0"/>
        <w:spacing w:after="0" w:line="240" w:lineRule="auto"/>
        <w:jc w:val="both"/>
        <w:rPr>
          <w:rFonts w:ascii="Bankinter" w:hAnsi="Bankinter" w:cs="Bankinter"/>
          <w:color w:val="000000" w:themeColor="text1"/>
          <w:sz w:val="20"/>
          <w:szCs w:val="20"/>
        </w:rPr>
      </w:pPr>
    </w:p>
    <w:p w:rsidR="007771C6" w:rsidRDefault="007771C6" w:rsidP="007771C6">
      <w:pPr>
        <w:autoSpaceDE w:val="0"/>
        <w:autoSpaceDN w:val="0"/>
        <w:adjustRightInd w:val="0"/>
        <w:spacing w:after="0" w:line="240" w:lineRule="auto"/>
        <w:jc w:val="both"/>
        <w:rPr>
          <w:rFonts w:cs="Bankinter"/>
          <w:color w:val="FF0000"/>
          <w:sz w:val="20"/>
          <w:szCs w:val="20"/>
        </w:rPr>
      </w:pPr>
      <w:r w:rsidRPr="00FB0A74">
        <w:rPr>
          <w:rFonts w:cs="Bankinter"/>
          <w:color w:val="000000" w:themeColor="text1"/>
          <w:sz w:val="20"/>
          <w:szCs w:val="20"/>
        </w:rPr>
        <w:t xml:space="preserve">Por lo que se refiere al balance de Bankinter, los activos totales cierran el </w:t>
      </w:r>
      <w:r>
        <w:rPr>
          <w:rFonts w:cs="Bankinter"/>
          <w:color w:val="000000" w:themeColor="text1"/>
          <w:sz w:val="20"/>
          <w:szCs w:val="20"/>
        </w:rPr>
        <w:t>tercer trimestre del año</w:t>
      </w:r>
      <w:r w:rsidRPr="00FB0A74">
        <w:rPr>
          <w:rFonts w:cs="Bankinter"/>
          <w:color w:val="000000" w:themeColor="text1"/>
          <w:sz w:val="20"/>
          <w:szCs w:val="20"/>
        </w:rPr>
        <w:t xml:space="preserve"> en 57</w:t>
      </w:r>
      <w:r>
        <w:rPr>
          <w:rFonts w:cs="Bankinter"/>
          <w:color w:val="000000" w:themeColor="text1"/>
          <w:sz w:val="20"/>
          <w:szCs w:val="20"/>
        </w:rPr>
        <w:t>.752,5</w:t>
      </w:r>
      <w:r w:rsidRPr="00FB0A74">
        <w:rPr>
          <w:rFonts w:cs="Bankinter"/>
          <w:color w:val="000000" w:themeColor="text1"/>
          <w:sz w:val="20"/>
          <w:szCs w:val="20"/>
        </w:rPr>
        <w:t xml:space="preserve"> millones de euros, un </w:t>
      </w:r>
      <w:r>
        <w:rPr>
          <w:rFonts w:cs="Bankinter"/>
          <w:color w:val="000000" w:themeColor="text1"/>
          <w:sz w:val="20"/>
          <w:szCs w:val="20"/>
        </w:rPr>
        <w:t>0,9% más</w:t>
      </w:r>
      <w:r w:rsidRPr="00FB0A74">
        <w:rPr>
          <w:rFonts w:cs="Bankinter"/>
          <w:color w:val="000000" w:themeColor="text1"/>
          <w:sz w:val="20"/>
          <w:szCs w:val="20"/>
        </w:rPr>
        <w:t xml:space="preserve"> que a 30 </w:t>
      </w:r>
      <w:r>
        <w:rPr>
          <w:rFonts w:cs="Bankinter"/>
          <w:color w:val="000000" w:themeColor="text1"/>
          <w:sz w:val="20"/>
          <w:szCs w:val="20"/>
        </w:rPr>
        <w:t>septiembre</w:t>
      </w:r>
      <w:r w:rsidRPr="00FB0A74">
        <w:rPr>
          <w:rFonts w:cs="Bankinter"/>
          <w:color w:val="000000" w:themeColor="text1"/>
          <w:sz w:val="20"/>
          <w:szCs w:val="20"/>
        </w:rPr>
        <w:t xml:space="preserve"> de </w:t>
      </w:r>
      <w:r w:rsidRPr="00FB0A74">
        <w:rPr>
          <w:rFonts w:cs="Bankinter"/>
          <w:color w:val="000000" w:themeColor="text1"/>
          <w:sz w:val="20"/>
          <w:szCs w:val="20"/>
        </w:rPr>
        <w:lastRenderedPageBreak/>
        <w:t xml:space="preserve">2012. Los recursos controlados se sitúan en </w:t>
      </w:r>
      <w:r>
        <w:rPr>
          <w:rFonts w:cs="Bankinter"/>
          <w:color w:val="000000" w:themeColor="text1"/>
          <w:sz w:val="20"/>
          <w:szCs w:val="20"/>
        </w:rPr>
        <w:t>48.110,9</w:t>
      </w:r>
      <w:r w:rsidRPr="00FB0A74">
        <w:rPr>
          <w:rFonts w:cs="Bankinter"/>
          <w:color w:val="000000" w:themeColor="text1"/>
          <w:sz w:val="20"/>
          <w:szCs w:val="20"/>
        </w:rPr>
        <w:t xml:space="preserve"> millones, lo que supone un </w:t>
      </w:r>
      <w:r w:rsidRPr="00485665">
        <w:rPr>
          <w:rFonts w:cs="Bankinter"/>
          <w:color w:val="000000" w:themeColor="text1"/>
          <w:sz w:val="20"/>
          <w:szCs w:val="20"/>
        </w:rPr>
        <w:t xml:space="preserve">crecimiento del </w:t>
      </w:r>
      <w:r>
        <w:rPr>
          <w:rFonts w:cs="Bankinter"/>
          <w:color w:val="000000" w:themeColor="text1"/>
          <w:sz w:val="20"/>
          <w:szCs w:val="20"/>
        </w:rPr>
        <w:t>11,7</w:t>
      </w:r>
      <w:r w:rsidRPr="00485665">
        <w:rPr>
          <w:rFonts w:cs="Bankinter"/>
          <w:color w:val="000000" w:themeColor="text1"/>
          <w:sz w:val="20"/>
          <w:szCs w:val="20"/>
        </w:rPr>
        <w:t>%. Asimismo, es muy destacable el incremento experimentado por los recursos gestionados fuera de balance, sobre todo por los fondos de inversión, que crecen un 53,6% en comparación con el tercer trimestre de 2012, y como consecuencia de ello, un incremento del 30,4% de los ingresos por comisiones derivados de su gestión.</w:t>
      </w:r>
      <w:r>
        <w:rPr>
          <w:rFonts w:cs="Bankinter"/>
          <w:color w:val="FF0000"/>
          <w:sz w:val="20"/>
          <w:szCs w:val="20"/>
        </w:rPr>
        <w:t xml:space="preserve"> </w:t>
      </w:r>
    </w:p>
    <w:p w:rsidR="007771C6" w:rsidRDefault="007771C6" w:rsidP="007771C6">
      <w:pPr>
        <w:autoSpaceDE w:val="0"/>
        <w:autoSpaceDN w:val="0"/>
        <w:adjustRightInd w:val="0"/>
        <w:spacing w:after="0" w:line="240" w:lineRule="auto"/>
        <w:jc w:val="both"/>
        <w:rPr>
          <w:rFonts w:cs="Bankinter"/>
          <w:color w:val="FF0000"/>
          <w:sz w:val="20"/>
          <w:szCs w:val="20"/>
        </w:rPr>
      </w:pPr>
    </w:p>
    <w:p w:rsidR="007771C6" w:rsidRDefault="007771C6" w:rsidP="007771C6">
      <w:pPr>
        <w:autoSpaceDE w:val="0"/>
        <w:autoSpaceDN w:val="0"/>
        <w:adjustRightInd w:val="0"/>
        <w:spacing w:after="0" w:line="240" w:lineRule="auto"/>
        <w:jc w:val="both"/>
        <w:rPr>
          <w:rFonts w:cs="Bankinter"/>
          <w:color w:val="000000" w:themeColor="text1"/>
          <w:sz w:val="20"/>
          <w:szCs w:val="20"/>
        </w:rPr>
      </w:pPr>
      <w:r w:rsidRPr="00FB0A74">
        <w:rPr>
          <w:rFonts w:cs="Bankinter"/>
          <w:color w:val="000000" w:themeColor="text1"/>
          <w:sz w:val="20"/>
          <w:szCs w:val="20"/>
        </w:rPr>
        <w:t>Y en cuanto a los créditos sobre clientes, suman un total de 41.</w:t>
      </w:r>
      <w:r>
        <w:rPr>
          <w:rFonts w:cs="Bankinter"/>
          <w:color w:val="000000" w:themeColor="text1"/>
          <w:sz w:val="20"/>
          <w:szCs w:val="20"/>
        </w:rPr>
        <w:t>207</w:t>
      </w:r>
      <w:r w:rsidRPr="00FB0A74">
        <w:rPr>
          <w:rFonts w:cs="Bankinter"/>
          <w:color w:val="000000" w:themeColor="text1"/>
          <w:sz w:val="20"/>
          <w:szCs w:val="20"/>
        </w:rPr>
        <w:t xml:space="preserve"> millones de euros, un </w:t>
      </w:r>
      <w:r>
        <w:rPr>
          <w:rFonts w:cs="Bankinter"/>
          <w:color w:val="000000" w:themeColor="text1"/>
          <w:sz w:val="20"/>
          <w:szCs w:val="20"/>
        </w:rPr>
        <w:t>3,9</w:t>
      </w:r>
      <w:r w:rsidRPr="00FB0A74">
        <w:rPr>
          <w:rFonts w:cs="Bankinter"/>
          <w:color w:val="000000" w:themeColor="text1"/>
          <w:sz w:val="20"/>
          <w:szCs w:val="20"/>
        </w:rPr>
        <w:t xml:space="preserve">% menos que al cierre de </w:t>
      </w:r>
      <w:r>
        <w:rPr>
          <w:rFonts w:cs="Bankinter"/>
          <w:color w:val="000000" w:themeColor="text1"/>
          <w:sz w:val="20"/>
          <w:szCs w:val="20"/>
        </w:rPr>
        <w:t>septiembre</w:t>
      </w:r>
      <w:r w:rsidRPr="00FB0A74">
        <w:rPr>
          <w:rFonts w:cs="Bankinter"/>
          <w:color w:val="000000" w:themeColor="text1"/>
          <w:sz w:val="20"/>
          <w:szCs w:val="20"/>
        </w:rPr>
        <w:t xml:space="preserve"> de 2012</w:t>
      </w:r>
      <w:r>
        <w:rPr>
          <w:rFonts w:cs="Bankinter"/>
          <w:color w:val="000000" w:themeColor="text1"/>
          <w:sz w:val="20"/>
          <w:szCs w:val="20"/>
        </w:rPr>
        <w:t>, si bien hay que tener en cuenta que en ese periodo el total de la inversión crediticia del sistema financiero se ha reducido en más del doble.</w:t>
      </w:r>
    </w:p>
    <w:p w:rsidR="007771C6" w:rsidRDefault="007771C6" w:rsidP="007771C6">
      <w:pPr>
        <w:autoSpaceDE w:val="0"/>
        <w:autoSpaceDN w:val="0"/>
        <w:adjustRightInd w:val="0"/>
        <w:spacing w:after="0" w:line="240" w:lineRule="auto"/>
        <w:jc w:val="both"/>
        <w:rPr>
          <w:rFonts w:cs="Bankinter"/>
          <w:color w:val="000000" w:themeColor="text1"/>
          <w:sz w:val="20"/>
          <w:szCs w:val="20"/>
        </w:rPr>
      </w:pPr>
    </w:p>
    <w:p w:rsidR="007771C6" w:rsidRDefault="007771C6" w:rsidP="007771C6">
      <w:pPr>
        <w:autoSpaceDE w:val="0"/>
        <w:autoSpaceDN w:val="0"/>
        <w:adjustRightInd w:val="0"/>
        <w:spacing w:after="0" w:line="240" w:lineRule="auto"/>
        <w:jc w:val="both"/>
        <w:rPr>
          <w:rFonts w:cs="Arial"/>
          <w:color w:val="000000" w:themeColor="text1"/>
          <w:sz w:val="20"/>
          <w:szCs w:val="20"/>
        </w:rPr>
      </w:pPr>
      <w:r w:rsidRPr="00FA4744">
        <w:rPr>
          <w:rFonts w:cs="Bankinter"/>
          <w:color w:val="000000" w:themeColor="text1"/>
          <w:sz w:val="20"/>
          <w:szCs w:val="20"/>
        </w:rPr>
        <w:t xml:space="preserve">Respecto al negocio con clientes, el banco mantiene centrada su estrategia en </w:t>
      </w:r>
      <w:r>
        <w:rPr>
          <w:rFonts w:cs="Bankinter"/>
          <w:color w:val="000000" w:themeColor="text1"/>
          <w:sz w:val="20"/>
          <w:szCs w:val="20"/>
        </w:rPr>
        <w:t xml:space="preserve">determinados </w:t>
      </w:r>
      <w:r w:rsidRPr="00FA4744">
        <w:rPr>
          <w:rFonts w:cs="Bankinter"/>
          <w:color w:val="000000" w:themeColor="text1"/>
          <w:sz w:val="20"/>
          <w:szCs w:val="20"/>
        </w:rPr>
        <w:t>segmentos de clientes</w:t>
      </w:r>
      <w:r>
        <w:rPr>
          <w:rFonts w:cs="Bankinter"/>
          <w:color w:val="000000" w:themeColor="text1"/>
          <w:sz w:val="20"/>
          <w:szCs w:val="20"/>
        </w:rPr>
        <w:t>, en especial el de banca privada. E</w:t>
      </w:r>
      <w:r w:rsidRPr="00FA4744">
        <w:rPr>
          <w:rFonts w:cs="Bankinter"/>
          <w:color w:val="000000" w:themeColor="text1"/>
          <w:sz w:val="20"/>
          <w:szCs w:val="20"/>
        </w:rPr>
        <w:t xml:space="preserve">ntre septiembre de 2012 y septiembre de 2013 se han captado un 21% más de clientes de este perfil que en el anterior periodo. Asimismo, el </w:t>
      </w:r>
      <w:r w:rsidRPr="00FA4744">
        <w:rPr>
          <w:rFonts w:cs="Arial"/>
          <w:color w:val="000000" w:themeColor="text1"/>
          <w:sz w:val="20"/>
          <w:szCs w:val="20"/>
        </w:rPr>
        <w:t xml:space="preserve">patrimonio que estos clientes tienen en el banco se </w:t>
      </w:r>
      <w:r>
        <w:rPr>
          <w:rFonts w:cs="Arial"/>
          <w:color w:val="000000" w:themeColor="text1"/>
          <w:sz w:val="20"/>
          <w:szCs w:val="20"/>
        </w:rPr>
        <w:t xml:space="preserve">ha </w:t>
      </w:r>
      <w:r w:rsidRPr="00FA4744">
        <w:rPr>
          <w:rFonts w:cs="Arial"/>
          <w:color w:val="000000" w:themeColor="text1"/>
          <w:sz w:val="20"/>
          <w:szCs w:val="20"/>
        </w:rPr>
        <w:t>incrementa</w:t>
      </w:r>
      <w:r>
        <w:rPr>
          <w:rFonts w:cs="Arial"/>
          <w:color w:val="000000" w:themeColor="text1"/>
          <w:sz w:val="20"/>
          <w:szCs w:val="20"/>
        </w:rPr>
        <w:t>do</w:t>
      </w:r>
      <w:r w:rsidRPr="00FA4744">
        <w:rPr>
          <w:rFonts w:cs="Arial"/>
          <w:color w:val="000000" w:themeColor="text1"/>
          <w:sz w:val="20"/>
          <w:szCs w:val="20"/>
        </w:rPr>
        <w:t xml:space="preserve"> en un 18,2% en ese mismo periodo. </w:t>
      </w:r>
      <w:r>
        <w:rPr>
          <w:rFonts w:cs="Arial"/>
          <w:color w:val="000000" w:themeColor="text1"/>
          <w:sz w:val="20"/>
          <w:szCs w:val="20"/>
        </w:rPr>
        <w:t xml:space="preserve">De igual forma, es un </w:t>
      </w:r>
      <w:r w:rsidRPr="00FA4744">
        <w:rPr>
          <w:rFonts w:cs="Arial"/>
          <w:color w:val="000000" w:themeColor="text1"/>
          <w:sz w:val="20"/>
          <w:szCs w:val="20"/>
        </w:rPr>
        <w:t xml:space="preserve">buen dato el número de sicavs gestionadas por el banco, que suman 277 al cierre del tercer trimestre, un 9,9% más que las existentes un año atrás. </w:t>
      </w:r>
    </w:p>
    <w:p w:rsidR="007771C6" w:rsidRDefault="007771C6" w:rsidP="007771C6">
      <w:pPr>
        <w:autoSpaceDE w:val="0"/>
        <w:autoSpaceDN w:val="0"/>
        <w:adjustRightInd w:val="0"/>
        <w:spacing w:after="0" w:line="240" w:lineRule="auto"/>
        <w:jc w:val="both"/>
        <w:rPr>
          <w:rFonts w:cs="Arial"/>
          <w:color w:val="000000" w:themeColor="text1"/>
          <w:sz w:val="20"/>
          <w:szCs w:val="20"/>
        </w:rPr>
      </w:pPr>
    </w:p>
    <w:p w:rsidR="007771C6" w:rsidRDefault="007771C6" w:rsidP="008377EC">
      <w:pPr>
        <w:autoSpaceDE w:val="0"/>
        <w:autoSpaceDN w:val="0"/>
        <w:adjustRightInd w:val="0"/>
        <w:spacing w:after="0" w:line="240" w:lineRule="auto"/>
        <w:jc w:val="both"/>
        <w:rPr>
          <w:rFonts w:cs="Bankinter"/>
          <w:color w:val="000000" w:themeColor="text1"/>
          <w:sz w:val="20"/>
          <w:szCs w:val="20"/>
        </w:rPr>
      </w:pPr>
      <w:r w:rsidRPr="000B6495">
        <w:rPr>
          <w:rFonts w:cs="Bankinter"/>
          <w:color w:val="000000" w:themeColor="text1"/>
          <w:sz w:val="20"/>
          <w:szCs w:val="20"/>
          <w:lang w:val="es-ES_tradnl"/>
        </w:rPr>
        <w:t xml:space="preserve">Similar tendencia muestra el negocio de </w:t>
      </w:r>
      <w:r w:rsidRPr="000B6495">
        <w:rPr>
          <w:rFonts w:cs="Bankinter"/>
          <w:color w:val="000000" w:themeColor="text1"/>
          <w:sz w:val="20"/>
          <w:szCs w:val="20"/>
        </w:rPr>
        <w:t>distribución y comercialización de seguros, sobre todo en lo que se refiere a Línea Directa, con importantes crecimientos en todos los ramos. Así, el número de pólizas totales de Línea Directa a 30 de septiembre de 2013 se sitúa en los 2,06 millones, con un incremento del 5,9% sobre el mismo dato de un año atrás. Por ramos, destaca en términos relativos el incremento en pólizas de hogar, un 30,4% más que al cierre del tercer trimestre de 2012.</w:t>
      </w:r>
    </w:p>
    <w:p w:rsidR="007771C6" w:rsidRDefault="007771C6" w:rsidP="008377EC">
      <w:pPr>
        <w:autoSpaceDE w:val="0"/>
        <w:autoSpaceDN w:val="0"/>
        <w:adjustRightInd w:val="0"/>
        <w:spacing w:after="0" w:line="240" w:lineRule="auto"/>
        <w:jc w:val="both"/>
        <w:rPr>
          <w:rFonts w:cs="Bankinter"/>
          <w:color w:val="000000" w:themeColor="text1"/>
          <w:sz w:val="20"/>
          <w:szCs w:val="20"/>
        </w:rPr>
      </w:pPr>
    </w:p>
    <w:p w:rsidR="007771C6" w:rsidRDefault="007771C6" w:rsidP="007771C6">
      <w:pPr>
        <w:autoSpaceDE w:val="0"/>
        <w:autoSpaceDN w:val="0"/>
        <w:adjustRightInd w:val="0"/>
        <w:spacing w:after="0" w:line="240" w:lineRule="auto"/>
        <w:jc w:val="both"/>
        <w:rPr>
          <w:rFonts w:cs="Bankinter"/>
          <w:color w:val="000000" w:themeColor="text1"/>
          <w:sz w:val="20"/>
          <w:szCs w:val="20"/>
          <w:lang w:val="es-ES_tradnl"/>
        </w:rPr>
      </w:pPr>
      <w:r w:rsidRPr="000B6495">
        <w:rPr>
          <w:rFonts w:cs="Bankinter"/>
          <w:color w:val="000000" w:themeColor="text1"/>
          <w:sz w:val="20"/>
          <w:szCs w:val="20"/>
        </w:rPr>
        <w:t>La calidad de servicio prestada al cliente desde todos los canales y redes del banco sigue siendo una de las variables sobre las que se asienta la estrategia de crecimiento del banco. Según el estudio EQUOS RCB de “A</w:t>
      </w:r>
      <w:r w:rsidRPr="000B6495">
        <w:rPr>
          <w:rFonts w:cs="Bankinter"/>
          <w:color w:val="000000" w:themeColor="text1"/>
          <w:sz w:val="20"/>
          <w:szCs w:val="20"/>
          <w:lang w:val="es-ES_tradnl"/>
        </w:rPr>
        <w:t>nálisis de calidad objetiva en redes comerciales bancarias”, Bankinter se muestra líder al cierre del tercer trimestre de este año, con 7,26 puntos de valoración frente a los 6,04 de media del mercado.</w:t>
      </w:r>
    </w:p>
    <w:p w:rsidR="007771C6" w:rsidRDefault="007771C6" w:rsidP="007771C6">
      <w:pPr>
        <w:autoSpaceDE w:val="0"/>
        <w:autoSpaceDN w:val="0"/>
        <w:adjustRightInd w:val="0"/>
        <w:spacing w:after="0" w:line="240" w:lineRule="auto"/>
        <w:jc w:val="both"/>
        <w:rPr>
          <w:rFonts w:cs="Bankinter"/>
          <w:color w:val="000000" w:themeColor="text1"/>
          <w:sz w:val="20"/>
          <w:szCs w:val="20"/>
          <w:lang w:val="es-ES_tradnl"/>
        </w:rPr>
      </w:pPr>
    </w:p>
    <w:p w:rsidR="007771C6" w:rsidRPr="004C1482" w:rsidRDefault="007771C6" w:rsidP="007771C6">
      <w:pPr>
        <w:autoSpaceDE w:val="0"/>
        <w:autoSpaceDN w:val="0"/>
        <w:adjustRightInd w:val="0"/>
        <w:spacing w:after="0" w:line="240" w:lineRule="auto"/>
        <w:jc w:val="both"/>
        <w:rPr>
          <w:rFonts w:cs="Bankinter"/>
          <w:bCs/>
          <w:color w:val="000000"/>
          <w:sz w:val="20"/>
          <w:szCs w:val="20"/>
        </w:rPr>
      </w:pPr>
      <w:r w:rsidRPr="004C1482">
        <w:rPr>
          <w:rFonts w:cs="Bankinter"/>
          <w:color w:val="000000" w:themeColor="text1"/>
          <w:sz w:val="20"/>
          <w:szCs w:val="20"/>
        </w:rPr>
        <w:t>Por último, cabe destacar el buen comportamiento experimentado por la acción BKT durante este periodo. Así, la r</w:t>
      </w:r>
      <w:r w:rsidRPr="004C1482">
        <w:rPr>
          <w:rFonts w:cs="BankinterText-Regular"/>
          <w:sz w:val="20"/>
          <w:szCs w:val="20"/>
        </w:rPr>
        <w:t xml:space="preserve">evalorización de la acción en los últimos 12 meses, ajustada por el aumento de capital liberado, fue de un </w:t>
      </w:r>
      <w:r w:rsidRPr="004C1482">
        <w:rPr>
          <w:rFonts w:cs="Bankinter"/>
          <w:bCs/>
          <w:color w:val="000000"/>
          <w:sz w:val="20"/>
          <w:szCs w:val="20"/>
        </w:rPr>
        <w:t>83,30%</w:t>
      </w:r>
      <w:r>
        <w:rPr>
          <w:rFonts w:cs="Bankinter"/>
          <w:bCs/>
          <w:color w:val="000000"/>
          <w:sz w:val="20"/>
          <w:szCs w:val="20"/>
        </w:rPr>
        <w:t>.</w:t>
      </w:r>
    </w:p>
    <w:p w:rsidR="007771C6" w:rsidRPr="007771C6" w:rsidRDefault="007771C6" w:rsidP="008377EC">
      <w:pPr>
        <w:autoSpaceDE w:val="0"/>
        <w:autoSpaceDN w:val="0"/>
        <w:adjustRightInd w:val="0"/>
        <w:spacing w:after="0" w:line="240" w:lineRule="auto"/>
        <w:jc w:val="both"/>
        <w:rPr>
          <w:rFonts w:cs="Bankinter"/>
          <w:color w:val="000000" w:themeColor="text1"/>
          <w:sz w:val="20"/>
          <w:szCs w:val="20"/>
        </w:rPr>
      </w:pPr>
    </w:p>
    <w:p w:rsidR="008377EC" w:rsidRDefault="008377EC"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433490" w:rsidRDefault="00433490" w:rsidP="008377EC">
      <w:pPr>
        <w:autoSpaceDE w:val="0"/>
        <w:autoSpaceDN w:val="0"/>
        <w:adjustRightInd w:val="0"/>
        <w:spacing w:after="0" w:line="240" w:lineRule="auto"/>
        <w:jc w:val="both"/>
        <w:rPr>
          <w:rFonts w:ascii="Bankinter" w:hAnsi="Bankinter" w:cs="Bankinter"/>
          <w:color w:val="000000" w:themeColor="text1"/>
          <w:sz w:val="20"/>
          <w:szCs w:val="20"/>
        </w:rPr>
      </w:pPr>
    </w:p>
    <w:p w:rsidR="008377EC" w:rsidRPr="00787949" w:rsidRDefault="008377EC" w:rsidP="008377EC">
      <w:pPr>
        <w:autoSpaceDE w:val="0"/>
        <w:autoSpaceDN w:val="0"/>
        <w:adjustRightInd w:val="0"/>
        <w:spacing w:after="0" w:line="240" w:lineRule="auto"/>
        <w:jc w:val="both"/>
        <w:rPr>
          <w:rFonts w:ascii="Bankinter" w:hAnsi="Bankinter" w:cs="Bankinter"/>
          <w:color w:val="000000" w:themeColor="text1"/>
          <w:sz w:val="20"/>
          <w:szCs w:val="20"/>
        </w:rPr>
      </w:pPr>
      <w:r>
        <w:rPr>
          <w:rFonts w:ascii="Bankinter" w:hAnsi="Bankinter" w:cs="Bankinter"/>
          <w:color w:val="000000" w:themeColor="text1"/>
          <w:sz w:val="20"/>
          <w:szCs w:val="20"/>
        </w:rPr>
        <w:t>PRINCIPALE</w:t>
      </w:r>
      <w:r w:rsidR="00035831">
        <w:rPr>
          <w:rFonts w:ascii="Bankinter" w:hAnsi="Bankinter" w:cs="Bankinter"/>
          <w:color w:val="000000" w:themeColor="text1"/>
          <w:sz w:val="20"/>
          <w:szCs w:val="20"/>
        </w:rPr>
        <w:t>S MAGNITUDES 3</w:t>
      </w:r>
      <w:r>
        <w:rPr>
          <w:rFonts w:ascii="Bankinter" w:hAnsi="Bankinter" w:cs="Bankinter"/>
          <w:color w:val="000000" w:themeColor="text1"/>
          <w:sz w:val="20"/>
          <w:szCs w:val="20"/>
        </w:rPr>
        <w:t>T 2013</w:t>
      </w:r>
    </w:p>
    <w:p w:rsidR="008377EC" w:rsidRDefault="008377EC" w:rsidP="008377EC">
      <w:pPr>
        <w:autoSpaceDE w:val="0"/>
        <w:autoSpaceDN w:val="0"/>
        <w:adjustRightInd w:val="0"/>
        <w:spacing w:after="0" w:line="240" w:lineRule="auto"/>
        <w:jc w:val="both"/>
        <w:rPr>
          <w:rFonts w:ascii="Bankinter" w:hAnsi="Bankinter" w:cs="Bankinter"/>
          <w:color w:val="000000" w:themeColor="text1"/>
          <w:sz w:val="20"/>
          <w:szCs w:val="20"/>
        </w:rPr>
      </w:pPr>
    </w:p>
    <w:tbl>
      <w:tblPr>
        <w:tblStyle w:val="Listaclara-nfasis2"/>
        <w:tblW w:w="0" w:type="auto"/>
        <w:tblLook w:val="04A0"/>
      </w:tblPr>
      <w:tblGrid>
        <w:gridCol w:w="2376"/>
        <w:gridCol w:w="1418"/>
        <w:gridCol w:w="1701"/>
        <w:gridCol w:w="1420"/>
        <w:gridCol w:w="1729"/>
      </w:tblGrid>
      <w:tr w:rsidR="008377EC" w:rsidTr="00F46714">
        <w:trPr>
          <w:cnfStyle w:val="100000000000"/>
        </w:trPr>
        <w:tc>
          <w:tcPr>
            <w:cnfStyle w:val="001000000000"/>
            <w:tcW w:w="2376" w:type="dxa"/>
          </w:tcPr>
          <w:p w:rsidR="008377EC" w:rsidRDefault="008377EC" w:rsidP="00F46714">
            <w:pPr>
              <w:autoSpaceDE w:val="0"/>
              <w:autoSpaceDN w:val="0"/>
              <w:adjustRightInd w:val="0"/>
              <w:jc w:val="both"/>
              <w:rPr>
                <w:rFonts w:ascii="Bankinter" w:hAnsi="Bankinter" w:cs="Bankinter"/>
                <w:color w:val="000000" w:themeColor="text1"/>
                <w:sz w:val="20"/>
                <w:szCs w:val="20"/>
              </w:rPr>
            </w:pPr>
          </w:p>
        </w:tc>
        <w:tc>
          <w:tcPr>
            <w:tcW w:w="1418" w:type="dxa"/>
          </w:tcPr>
          <w:p w:rsidR="008377EC" w:rsidRDefault="008377EC" w:rsidP="00F46714">
            <w:pPr>
              <w:autoSpaceDE w:val="0"/>
              <w:autoSpaceDN w:val="0"/>
              <w:adjustRightInd w:val="0"/>
              <w:jc w:val="both"/>
              <w:cnfStyle w:val="100000000000"/>
              <w:rPr>
                <w:rFonts w:ascii="Bankinter" w:hAnsi="Bankinter" w:cs="Bankinter"/>
                <w:color w:val="000000" w:themeColor="text1"/>
                <w:sz w:val="20"/>
                <w:szCs w:val="20"/>
              </w:rPr>
            </w:pPr>
          </w:p>
        </w:tc>
        <w:tc>
          <w:tcPr>
            <w:tcW w:w="1701" w:type="dxa"/>
          </w:tcPr>
          <w:p w:rsidR="008377EC" w:rsidRDefault="008377EC" w:rsidP="00F46714">
            <w:pPr>
              <w:autoSpaceDE w:val="0"/>
              <w:autoSpaceDN w:val="0"/>
              <w:adjustRightInd w:val="0"/>
              <w:jc w:val="both"/>
              <w:cnfStyle w:val="100000000000"/>
              <w:rPr>
                <w:rFonts w:ascii="Bankinter" w:hAnsi="Bankinter" w:cs="Bankinter"/>
                <w:color w:val="000000" w:themeColor="text1"/>
                <w:sz w:val="20"/>
                <w:szCs w:val="20"/>
              </w:rPr>
            </w:pPr>
          </w:p>
        </w:tc>
        <w:tc>
          <w:tcPr>
            <w:tcW w:w="1420" w:type="dxa"/>
          </w:tcPr>
          <w:p w:rsidR="008377EC" w:rsidRDefault="008377EC" w:rsidP="00F46714">
            <w:pPr>
              <w:autoSpaceDE w:val="0"/>
              <w:autoSpaceDN w:val="0"/>
              <w:adjustRightInd w:val="0"/>
              <w:jc w:val="both"/>
              <w:cnfStyle w:val="100000000000"/>
              <w:rPr>
                <w:rFonts w:ascii="Bankinter" w:hAnsi="Bankinter" w:cs="Bankinter"/>
                <w:color w:val="000000" w:themeColor="text1"/>
                <w:sz w:val="20"/>
                <w:szCs w:val="20"/>
              </w:rPr>
            </w:pPr>
          </w:p>
        </w:tc>
        <w:tc>
          <w:tcPr>
            <w:tcW w:w="1729" w:type="dxa"/>
          </w:tcPr>
          <w:p w:rsidR="008377EC" w:rsidRDefault="008377EC" w:rsidP="00F46714">
            <w:pPr>
              <w:autoSpaceDE w:val="0"/>
              <w:autoSpaceDN w:val="0"/>
              <w:adjustRightInd w:val="0"/>
              <w:cnfStyle w:val="100000000000"/>
              <w:rPr>
                <w:rFonts w:ascii="Bankinter" w:hAnsi="Bankinter" w:cs="Bankinter"/>
                <w:color w:val="000000" w:themeColor="text1"/>
                <w:sz w:val="20"/>
                <w:szCs w:val="20"/>
              </w:rPr>
            </w:pPr>
            <w:r>
              <w:rPr>
                <w:rFonts w:ascii="Bankinter" w:hAnsi="Bankinter" w:cs="Bankinter"/>
                <w:color w:val="000000" w:themeColor="text1"/>
                <w:sz w:val="20"/>
                <w:szCs w:val="20"/>
              </w:rPr>
              <w:t>Diferencia</w:t>
            </w:r>
          </w:p>
        </w:tc>
      </w:tr>
      <w:tr w:rsidR="008377EC" w:rsidTr="00F46714">
        <w:trPr>
          <w:cnfStyle w:val="000000100000"/>
        </w:trPr>
        <w:tc>
          <w:tcPr>
            <w:cnfStyle w:val="001000000000"/>
            <w:tcW w:w="2376" w:type="dxa"/>
          </w:tcPr>
          <w:p w:rsidR="008377EC" w:rsidRDefault="008377EC" w:rsidP="00F46714">
            <w:pPr>
              <w:autoSpaceDE w:val="0"/>
              <w:autoSpaceDN w:val="0"/>
              <w:adjustRightInd w:val="0"/>
              <w:jc w:val="both"/>
              <w:rPr>
                <w:rFonts w:ascii="Bankinter" w:hAnsi="Bankinter" w:cs="Bankinter"/>
                <w:color w:val="000000" w:themeColor="text1"/>
                <w:sz w:val="20"/>
                <w:szCs w:val="20"/>
              </w:rPr>
            </w:pPr>
          </w:p>
        </w:tc>
        <w:tc>
          <w:tcPr>
            <w:tcW w:w="1418" w:type="dxa"/>
          </w:tcPr>
          <w:p w:rsidR="008377EC" w:rsidRPr="00237B93" w:rsidRDefault="00897664" w:rsidP="00F46714">
            <w:pPr>
              <w:autoSpaceDE w:val="0"/>
              <w:autoSpaceDN w:val="0"/>
              <w:adjustRightInd w:val="0"/>
              <w:jc w:val="center"/>
              <w:cnfStyle w:val="000000100000"/>
              <w:rPr>
                <w:rFonts w:ascii="Bankinter" w:hAnsi="Bankinter" w:cs="Bankinter"/>
                <w:b/>
                <w:color w:val="000000" w:themeColor="text1"/>
                <w:sz w:val="20"/>
                <w:szCs w:val="20"/>
              </w:rPr>
            </w:pPr>
            <w:r>
              <w:rPr>
                <w:rFonts w:ascii="Bankinter" w:hAnsi="Bankinter" w:cs="Bankinter"/>
                <w:b/>
                <w:color w:val="000000" w:themeColor="text1"/>
                <w:sz w:val="20"/>
                <w:szCs w:val="20"/>
              </w:rPr>
              <w:t>30/09</w:t>
            </w:r>
            <w:r w:rsidR="008377EC">
              <w:rPr>
                <w:rFonts w:ascii="Bankinter" w:hAnsi="Bankinter" w:cs="Bankinter"/>
                <w:b/>
                <w:color w:val="000000" w:themeColor="text1"/>
                <w:sz w:val="20"/>
                <w:szCs w:val="20"/>
              </w:rPr>
              <w:t>/2013</w:t>
            </w:r>
          </w:p>
        </w:tc>
        <w:tc>
          <w:tcPr>
            <w:tcW w:w="1701" w:type="dxa"/>
          </w:tcPr>
          <w:p w:rsidR="008377EC" w:rsidRPr="00237B93" w:rsidRDefault="00897664" w:rsidP="00F46714">
            <w:pPr>
              <w:autoSpaceDE w:val="0"/>
              <w:autoSpaceDN w:val="0"/>
              <w:adjustRightInd w:val="0"/>
              <w:jc w:val="center"/>
              <w:cnfStyle w:val="000000100000"/>
              <w:rPr>
                <w:rFonts w:ascii="Bankinter" w:hAnsi="Bankinter" w:cs="Bankinter"/>
                <w:b/>
                <w:color w:val="000000" w:themeColor="text1"/>
                <w:sz w:val="20"/>
                <w:szCs w:val="20"/>
              </w:rPr>
            </w:pPr>
            <w:r>
              <w:rPr>
                <w:rFonts w:ascii="Bankinter" w:hAnsi="Bankinter" w:cs="Bankinter"/>
                <w:b/>
                <w:color w:val="000000" w:themeColor="text1"/>
                <w:sz w:val="20"/>
                <w:szCs w:val="20"/>
              </w:rPr>
              <w:t>30/09</w:t>
            </w:r>
            <w:r w:rsidR="008377EC" w:rsidRPr="00237B93">
              <w:rPr>
                <w:rFonts w:ascii="Bankinter" w:hAnsi="Bankinter" w:cs="Bankinter"/>
                <w:b/>
                <w:color w:val="000000" w:themeColor="text1"/>
                <w:sz w:val="20"/>
                <w:szCs w:val="20"/>
              </w:rPr>
              <w:t>/201</w:t>
            </w:r>
            <w:r w:rsidR="008377EC">
              <w:rPr>
                <w:rFonts w:ascii="Bankinter" w:hAnsi="Bankinter" w:cs="Bankinter"/>
                <w:b/>
                <w:color w:val="000000" w:themeColor="text1"/>
                <w:sz w:val="20"/>
                <w:szCs w:val="20"/>
              </w:rPr>
              <w:t>2</w:t>
            </w:r>
          </w:p>
        </w:tc>
        <w:tc>
          <w:tcPr>
            <w:tcW w:w="1420" w:type="dxa"/>
          </w:tcPr>
          <w:p w:rsidR="008377EC" w:rsidRPr="00237B93" w:rsidRDefault="008377EC" w:rsidP="00F46714">
            <w:pPr>
              <w:autoSpaceDE w:val="0"/>
              <w:autoSpaceDN w:val="0"/>
              <w:adjustRightInd w:val="0"/>
              <w:jc w:val="center"/>
              <w:cnfStyle w:val="000000100000"/>
              <w:rPr>
                <w:rFonts w:ascii="Bankinter" w:hAnsi="Bankinter" w:cs="Bankinter"/>
                <w:b/>
                <w:color w:val="000000" w:themeColor="text1"/>
                <w:sz w:val="20"/>
                <w:szCs w:val="20"/>
              </w:rPr>
            </w:pPr>
            <w:r w:rsidRPr="00237B93">
              <w:rPr>
                <w:rFonts w:ascii="Bankinter" w:hAnsi="Bankinter" w:cs="Bankinter"/>
                <w:b/>
                <w:color w:val="000000" w:themeColor="text1"/>
                <w:sz w:val="20"/>
                <w:szCs w:val="20"/>
              </w:rPr>
              <w:t>Importe</w:t>
            </w:r>
          </w:p>
        </w:tc>
        <w:tc>
          <w:tcPr>
            <w:tcW w:w="1729" w:type="dxa"/>
          </w:tcPr>
          <w:p w:rsidR="008377EC" w:rsidRPr="00237B93" w:rsidRDefault="008377EC" w:rsidP="00F46714">
            <w:pPr>
              <w:autoSpaceDE w:val="0"/>
              <w:autoSpaceDN w:val="0"/>
              <w:adjustRightInd w:val="0"/>
              <w:jc w:val="center"/>
              <w:cnfStyle w:val="000000100000"/>
              <w:rPr>
                <w:rFonts w:ascii="Bankinter" w:hAnsi="Bankinter" w:cs="Bankinter"/>
                <w:b/>
                <w:color w:val="000000" w:themeColor="text1"/>
                <w:sz w:val="20"/>
                <w:szCs w:val="20"/>
              </w:rPr>
            </w:pPr>
            <w:r w:rsidRPr="00237B93">
              <w:rPr>
                <w:rFonts w:ascii="Bankinter" w:hAnsi="Bankinter" w:cs="Bankinter"/>
                <w:b/>
                <w:color w:val="000000" w:themeColor="text1"/>
                <w:sz w:val="20"/>
                <w:szCs w:val="20"/>
              </w:rPr>
              <w:t>%</w:t>
            </w:r>
          </w:p>
        </w:tc>
      </w:tr>
      <w:tr w:rsidR="008377EC" w:rsidTr="00F46714">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Resultado antes de provisiones (millones  €)</w:t>
            </w:r>
          </w:p>
        </w:tc>
        <w:tc>
          <w:tcPr>
            <w:tcW w:w="1418" w:type="dxa"/>
          </w:tcPr>
          <w:p w:rsidR="008377EC" w:rsidRDefault="00897664"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492,6</w:t>
            </w:r>
          </w:p>
        </w:tc>
        <w:tc>
          <w:tcPr>
            <w:tcW w:w="1701" w:type="dxa"/>
          </w:tcPr>
          <w:p w:rsidR="008377EC" w:rsidRDefault="00897664"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450,3</w:t>
            </w:r>
          </w:p>
        </w:tc>
        <w:tc>
          <w:tcPr>
            <w:tcW w:w="1420" w:type="dxa"/>
          </w:tcPr>
          <w:p w:rsidR="008377EC" w:rsidRDefault="00897664"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42,3</w:t>
            </w:r>
          </w:p>
        </w:tc>
        <w:tc>
          <w:tcPr>
            <w:tcW w:w="1729" w:type="dxa"/>
          </w:tcPr>
          <w:p w:rsidR="008377EC" w:rsidRDefault="00897664"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9,4</w:t>
            </w:r>
          </w:p>
        </w:tc>
      </w:tr>
      <w:tr w:rsidR="008377EC" w:rsidTr="00F46714">
        <w:trPr>
          <w:cnfStyle w:val="000000100000"/>
        </w:trPr>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 xml:space="preserve">Resultado antes de impuestos </w:t>
            </w:r>
          </w:p>
          <w:p w:rsidR="008377EC" w:rsidRDefault="008377EC" w:rsidP="00F46714">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(millones €)</w:t>
            </w:r>
          </w:p>
        </w:tc>
        <w:tc>
          <w:tcPr>
            <w:tcW w:w="1418" w:type="dxa"/>
          </w:tcPr>
          <w:p w:rsidR="008377EC" w:rsidRDefault="00897664"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211,1</w:t>
            </w:r>
          </w:p>
        </w:tc>
        <w:tc>
          <w:tcPr>
            <w:tcW w:w="1701" w:type="dxa"/>
          </w:tcPr>
          <w:p w:rsidR="008377EC" w:rsidRDefault="00897664"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85,8</w:t>
            </w:r>
          </w:p>
        </w:tc>
        <w:tc>
          <w:tcPr>
            <w:tcW w:w="1420" w:type="dxa"/>
          </w:tcPr>
          <w:p w:rsidR="008377EC" w:rsidRDefault="00897664"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125,3</w:t>
            </w:r>
          </w:p>
        </w:tc>
        <w:tc>
          <w:tcPr>
            <w:tcW w:w="1729" w:type="dxa"/>
          </w:tcPr>
          <w:p w:rsidR="008377EC" w:rsidRDefault="00DE787E" w:rsidP="00DE787E">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146</w:t>
            </w:r>
          </w:p>
        </w:tc>
      </w:tr>
      <w:tr w:rsidR="008377EC" w:rsidTr="00F46714">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Resultado neto atribuido al grupo (millones €)</w:t>
            </w:r>
          </w:p>
        </w:tc>
        <w:tc>
          <w:tcPr>
            <w:tcW w:w="1418"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1</w:t>
            </w:r>
            <w:r w:rsidR="00897664">
              <w:rPr>
                <w:rFonts w:ascii="Bankinter" w:hAnsi="Bankinter" w:cs="Bankinter"/>
                <w:color w:val="000000" w:themeColor="text1"/>
                <w:sz w:val="20"/>
                <w:szCs w:val="20"/>
              </w:rPr>
              <w:t>55,8</w:t>
            </w:r>
          </w:p>
        </w:tc>
        <w:tc>
          <w:tcPr>
            <w:tcW w:w="1701" w:type="dxa"/>
          </w:tcPr>
          <w:p w:rsidR="008377EC" w:rsidRDefault="00897664"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72,3</w:t>
            </w:r>
          </w:p>
        </w:tc>
        <w:tc>
          <w:tcPr>
            <w:tcW w:w="1420" w:type="dxa"/>
          </w:tcPr>
          <w:p w:rsidR="008377EC" w:rsidRDefault="00897664"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83,5</w:t>
            </w:r>
          </w:p>
        </w:tc>
        <w:tc>
          <w:tcPr>
            <w:tcW w:w="1729" w:type="dxa"/>
          </w:tcPr>
          <w:p w:rsidR="008377EC" w:rsidRDefault="00897664" w:rsidP="00DE787E">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115,</w:t>
            </w:r>
            <w:r w:rsidR="00DE787E">
              <w:rPr>
                <w:rFonts w:ascii="Bankinter" w:hAnsi="Bankinter" w:cs="Bankinter"/>
                <w:color w:val="000000" w:themeColor="text1"/>
                <w:sz w:val="20"/>
                <w:szCs w:val="20"/>
              </w:rPr>
              <w:t>5</w:t>
            </w:r>
          </w:p>
        </w:tc>
      </w:tr>
      <w:tr w:rsidR="008377EC" w:rsidTr="00F46714">
        <w:trPr>
          <w:cnfStyle w:val="000000100000"/>
        </w:trPr>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p>
        </w:tc>
        <w:tc>
          <w:tcPr>
            <w:tcW w:w="1418" w:type="dxa"/>
          </w:tcPr>
          <w:p w:rsidR="008377EC" w:rsidRDefault="008377EC" w:rsidP="00F46714">
            <w:pPr>
              <w:autoSpaceDE w:val="0"/>
              <w:autoSpaceDN w:val="0"/>
              <w:adjustRightInd w:val="0"/>
              <w:jc w:val="center"/>
              <w:cnfStyle w:val="000000100000"/>
              <w:rPr>
                <w:rFonts w:ascii="Bankinter" w:hAnsi="Bankinter" w:cs="Bankinter"/>
                <w:color w:val="000000" w:themeColor="text1"/>
                <w:sz w:val="20"/>
                <w:szCs w:val="20"/>
              </w:rPr>
            </w:pPr>
          </w:p>
        </w:tc>
        <w:tc>
          <w:tcPr>
            <w:tcW w:w="1701" w:type="dxa"/>
          </w:tcPr>
          <w:p w:rsidR="008377EC" w:rsidRDefault="008377EC" w:rsidP="00F46714">
            <w:pPr>
              <w:autoSpaceDE w:val="0"/>
              <w:autoSpaceDN w:val="0"/>
              <w:adjustRightInd w:val="0"/>
              <w:jc w:val="center"/>
              <w:cnfStyle w:val="000000100000"/>
              <w:rPr>
                <w:rFonts w:ascii="Bankinter" w:hAnsi="Bankinter" w:cs="Bankinter"/>
                <w:color w:val="000000" w:themeColor="text1"/>
                <w:sz w:val="20"/>
                <w:szCs w:val="20"/>
              </w:rPr>
            </w:pPr>
          </w:p>
        </w:tc>
        <w:tc>
          <w:tcPr>
            <w:tcW w:w="1420" w:type="dxa"/>
          </w:tcPr>
          <w:p w:rsidR="008377EC" w:rsidRDefault="008377EC" w:rsidP="00F46714">
            <w:pPr>
              <w:autoSpaceDE w:val="0"/>
              <w:autoSpaceDN w:val="0"/>
              <w:adjustRightInd w:val="0"/>
              <w:jc w:val="center"/>
              <w:cnfStyle w:val="000000100000"/>
              <w:rPr>
                <w:rFonts w:ascii="Bankinter" w:hAnsi="Bankinter" w:cs="Bankinter"/>
                <w:color w:val="000000" w:themeColor="text1"/>
                <w:sz w:val="20"/>
                <w:szCs w:val="20"/>
              </w:rPr>
            </w:pPr>
          </w:p>
        </w:tc>
        <w:tc>
          <w:tcPr>
            <w:tcW w:w="1729" w:type="dxa"/>
          </w:tcPr>
          <w:p w:rsidR="008377EC" w:rsidRDefault="008377EC" w:rsidP="00F46714">
            <w:pPr>
              <w:autoSpaceDE w:val="0"/>
              <w:autoSpaceDN w:val="0"/>
              <w:adjustRightInd w:val="0"/>
              <w:jc w:val="center"/>
              <w:cnfStyle w:val="000000100000"/>
              <w:rPr>
                <w:rFonts w:ascii="Bankinter" w:hAnsi="Bankinter" w:cs="Bankinter"/>
                <w:color w:val="000000" w:themeColor="text1"/>
                <w:sz w:val="20"/>
                <w:szCs w:val="20"/>
              </w:rPr>
            </w:pPr>
          </w:p>
        </w:tc>
      </w:tr>
      <w:tr w:rsidR="008377EC" w:rsidTr="00F46714">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Activos totales (millones  €)</w:t>
            </w:r>
          </w:p>
        </w:tc>
        <w:tc>
          <w:tcPr>
            <w:tcW w:w="1418" w:type="dxa"/>
          </w:tcPr>
          <w:p w:rsidR="008377EC" w:rsidRDefault="00897664"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57.752,5</w:t>
            </w:r>
          </w:p>
        </w:tc>
        <w:tc>
          <w:tcPr>
            <w:tcW w:w="1701" w:type="dxa"/>
          </w:tcPr>
          <w:p w:rsidR="008377EC" w:rsidRDefault="00897664"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57.245,4</w:t>
            </w:r>
          </w:p>
        </w:tc>
        <w:tc>
          <w:tcPr>
            <w:tcW w:w="1420" w:type="dxa"/>
          </w:tcPr>
          <w:p w:rsidR="008377EC" w:rsidRDefault="008377EC" w:rsidP="0089766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w:t>
            </w:r>
            <w:r w:rsidR="00897664">
              <w:rPr>
                <w:rFonts w:ascii="Bankinter" w:hAnsi="Bankinter" w:cs="Bankinter"/>
                <w:color w:val="000000" w:themeColor="text1"/>
                <w:sz w:val="20"/>
                <w:szCs w:val="20"/>
              </w:rPr>
              <w:t>507,1</w:t>
            </w:r>
          </w:p>
        </w:tc>
        <w:tc>
          <w:tcPr>
            <w:tcW w:w="1729"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w:t>
            </w:r>
            <w:r w:rsidR="00897664">
              <w:rPr>
                <w:rFonts w:ascii="Bankinter" w:hAnsi="Bankinter" w:cs="Bankinter"/>
                <w:color w:val="000000" w:themeColor="text1"/>
                <w:sz w:val="20"/>
                <w:szCs w:val="20"/>
              </w:rPr>
              <w:t>0,9</w:t>
            </w:r>
          </w:p>
        </w:tc>
      </w:tr>
      <w:tr w:rsidR="008377EC" w:rsidTr="00F46714">
        <w:trPr>
          <w:cnfStyle w:val="000000100000"/>
        </w:trPr>
        <w:tc>
          <w:tcPr>
            <w:cnfStyle w:val="001000000000"/>
            <w:tcW w:w="2376" w:type="dxa"/>
          </w:tcPr>
          <w:p w:rsidR="008377EC" w:rsidRDefault="004A67F8" w:rsidP="00F46714">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Créditos sobre clientes</w:t>
            </w:r>
            <w:r w:rsidR="008377EC">
              <w:rPr>
                <w:rFonts w:ascii="Bankinter" w:hAnsi="Bankinter" w:cs="Bankinter"/>
                <w:color w:val="000000" w:themeColor="text1"/>
                <w:sz w:val="20"/>
                <w:szCs w:val="20"/>
              </w:rPr>
              <w:t xml:space="preserve"> (millones €)</w:t>
            </w:r>
          </w:p>
        </w:tc>
        <w:tc>
          <w:tcPr>
            <w:tcW w:w="1418"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41.207</w:t>
            </w:r>
          </w:p>
        </w:tc>
        <w:tc>
          <w:tcPr>
            <w:tcW w:w="1701"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42.863,</w:t>
            </w:r>
            <w:r w:rsidR="002B09AC">
              <w:rPr>
                <w:rFonts w:ascii="Bankinter" w:hAnsi="Bankinter" w:cs="Bankinter"/>
                <w:color w:val="000000" w:themeColor="text1"/>
                <w:sz w:val="20"/>
                <w:szCs w:val="20"/>
              </w:rPr>
              <w:t>9</w:t>
            </w:r>
          </w:p>
        </w:tc>
        <w:tc>
          <w:tcPr>
            <w:tcW w:w="1420" w:type="dxa"/>
          </w:tcPr>
          <w:p w:rsidR="008377EC" w:rsidRDefault="008377EC" w:rsidP="004A67F8">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w:t>
            </w:r>
            <w:r w:rsidR="004A67F8">
              <w:rPr>
                <w:rFonts w:ascii="Bankinter" w:hAnsi="Bankinter" w:cs="Bankinter"/>
                <w:color w:val="000000" w:themeColor="text1"/>
                <w:sz w:val="20"/>
                <w:szCs w:val="20"/>
              </w:rPr>
              <w:t>1.656,9</w:t>
            </w:r>
          </w:p>
        </w:tc>
        <w:tc>
          <w:tcPr>
            <w:tcW w:w="1729"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-3,9</w:t>
            </w:r>
          </w:p>
        </w:tc>
      </w:tr>
      <w:tr w:rsidR="008377EC" w:rsidTr="00F46714">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Recursos minoristas (millones €)</w:t>
            </w:r>
          </w:p>
        </w:tc>
        <w:tc>
          <w:tcPr>
            <w:tcW w:w="1418" w:type="dxa"/>
          </w:tcPr>
          <w:p w:rsidR="008377EC" w:rsidRDefault="004A67F8"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26.476,9</w:t>
            </w:r>
          </w:p>
        </w:tc>
        <w:tc>
          <w:tcPr>
            <w:tcW w:w="1701" w:type="dxa"/>
          </w:tcPr>
          <w:p w:rsidR="008377EC" w:rsidRDefault="004A67F8"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24.548,4</w:t>
            </w:r>
          </w:p>
        </w:tc>
        <w:tc>
          <w:tcPr>
            <w:tcW w:w="1420" w:type="dxa"/>
          </w:tcPr>
          <w:p w:rsidR="008377EC" w:rsidRDefault="004A67F8"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1.928,5</w:t>
            </w:r>
          </w:p>
        </w:tc>
        <w:tc>
          <w:tcPr>
            <w:tcW w:w="1729" w:type="dxa"/>
          </w:tcPr>
          <w:p w:rsidR="008377EC" w:rsidRDefault="004A67F8"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7,9</w:t>
            </w:r>
          </w:p>
        </w:tc>
      </w:tr>
      <w:tr w:rsidR="008377EC" w:rsidTr="00F46714">
        <w:trPr>
          <w:cnfStyle w:val="000000100000"/>
        </w:trPr>
        <w:tc>
          <w:tcPr>
            <w:cnfStyle w:val="001000000000"/>
            <w:tcW w:w="2376" w:type="dxa"/>
          </w:tcPr>
          <w:p w:rsidR="008377EC" w:rsidRDefault="008377EC" w:rsidP="008377EC">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Recursos gestionados fuera balance (millones  €)</w:t>
            </w:r>
          </w:p>
        </w:tc>
        <w:tc>
          <w:tcPr>
            <w:tcW w:w="1418"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11.004,9</w:t>
            </w:r>
          </w:p>
        </w:tc>
        <w:tc>
          <w:tcPr>
            <w:tcW w:w="1701"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7.525,7</w:t>
            </w:r>
          </w:p>
        </w:tc>
        <w:tc>
          <w:tcPr>
            <w:tcW w:w="1420"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3.479,1</w:t>
            </w:r>
          </w:p>
        </w:tc>
        <w:tc>
          <w:tcPr>
            <w:tcW w:w="1729"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46,2</w:t>
            </w:r>
          </w:p>
        </w:tc>
      </w:tr>
      <w:tr w:rsidR="008377EC" w:rsidTr="00F46714">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p>
        </w:tc>
        <w:tc>
          <w:tcPr>
            <w:tcW w:w="1418"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p>
        </w:tc>
        <w:tc>
          <w:tcPr>
            <w:tcW w:w="1701"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p>
        </w:tc>
        <w:tc>
          <w:tcPr>
            <w:tcW w:w="1420"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p>
        </w:tc>
        <w:tc>
          <w:tcPr>
            <w:tcW w:w="1729"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p>
        </w:tc>
      </w:tr>
      <w:tr w:rsidR="008377EC" w:rsidTr="00F46714">
        <w:trPr>
          <w:cnfStyle w:val="000000100000"/>
        </w:trPr>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Índice de morosidad (%)</w:t>
            </w:r>
          </w:p>
        </w:tc>
        <w:tc>
          <w:tcPr>
            <w:tcW w:w="1418" w:type="dxa"/>
          </w:tcPr>
          <w:p w:rsidR="008377EC" w:rsidRDefault="008377EC"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4,</w:t>
            </w:r>
            <w:r w:rsidR="004A67F8">
              <w:rPr>
                <w:rFonts w:ascii="Bankinter" w:hAnsi="Bankinter" w:cs="Bankinter"/>
                <w:color w:val="000000" w:themeColor="text1"/>
                <w:sz w:val="20"/>
                <w:szCs w:val="20"/>
              </w:rPr>
              <w:t>99</w:t>
            </w:r>
          </w:p>
        </w:tc>
        <w:tc>
          <w:tcPr>
            <w:tcW w:w="1701"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4,02</w:t>
            </w:r>
          </w:p>
        </w:tc>
        <w:tc>
          <w:tcPr>
            <w:tcW w:w="1420"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0,97</w:t>
            </w:r>
            <w:r w:rsidR="008377EC">
              <w:rPr>
                <w:rFonts w:ascii="Bankinter" w:hAnsi="Bankinter" w:cs="Bankinter"/>
                <w:color w:val="000000" w:themeColor="text1"/>
                <w:sz w:val="20"/>
                <w:szCs w:val="20"/>
              </w:rPr>
              <w:t xml:space="preserve"> p.p.</w:t>
            </w:r>
          </w:p>
        </w:tc>
        <w:tc>
          <w:tcPr>
            <w:tcW w:w="1729" w:type="dxa"/>
          </w:tcPr>
          <w:p w:rsidR="008377EC" w:rsidRDefault="008377EC" w:rsidP="00F46714">
            <w:pPr>
              <w:autoSpaceDE w:val="0"/>
              <w:autoSpaceDN w:val="0"/>
              <w:adjustRightInd w:val="0"/>
              <w:jc w:val="center"/>
              <w:cnfStyle w:val="000000100000"/>
              <w:rPr>
                <w:rFonts w:ascii="Bankinter" w:hAnsi="Bankinter" w:cs="Bankinter"/>
                <w:color w:val="000000" w:themeColor="text1"/>
                <w:sz w:val="20"/>
                <w:szCs w:val="20"/>
              </w:rPr>
            </w:pPr>
          </w:p>
        </w:tc>
      </w:tr>
      <w:tr w:rsidR="008377EC" w:rsidTr="00F46714">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Ratio de eficiencia(%)*</w:t>
            </w:r>
          </w:p>
        </w:tc>
        <w:tc>
          <w:tcPr>
            <w:tcW w:w="1418"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4</w:t>
            </w:r>
            <w:r w:rsidR="004A67F8">
              <w:rPr>
                <w:rFonts w:ascii="Bankinter" w:hAnsi="Bankinter" w:cs="Bankinter"/>
                <w:color w:val="000000" w:themeColor="text1"/>
                <w:sz w:val="20"/>
                <w:szCs w:val="20"/>
              </w:rPr>
              <w:t>1,2</w:t>
            </w:r>
          </w:p>
        </w:tc>
        <w:tc>
          <w:tcPr>
            <w:tcW w:w="1701"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4</w:t>
            </w:r>
            <w:r w:rsidR="004A67F8">
              <w:rPr>
                <w:rFonts w:ascii="Bankinter" w:hAnsi="Bankinter" w:cs="Bankinter"/>
                <w:color w:val="000000" w:themeColor="text1"/>
                <w:sz w:val="20"/>
                <w:szCs w:val="20"/>
              </w:rPr>
              <w:t>2,5</w:t>
            </w:r>
          </w:p>
        </w:tc>
        <w:tc>
          <w:tcPr>
            <w:tcW w:w="1420" w:type="dxa"/>
          </w:tcPr>
          <w:p w:rsidR="008377EC" w:rsidRDefault="004A67F8" w:rsidP="00F46714">
            <w:pPr>
              <w:autoSpaceDE w:val="0"/>
              <w:autoSpaceDN w:val="0"/>
              <w:adjustRightInd w:val="0"/>
              <w:jc w:val="center"/>
              <w:cnfStyle w:val="000000000000"/>
              <w:rPr>
                <w:rFonts w:ascii="Bankinter" w:hAnsi="Bankinter" w:cs="Bankinter"/>
                <w:color w:val="000000" w:themeColor="text1"/>
                <w:sz w:val="20"/>
                <w:szCs w:val="20"/>
              </w:rPr>
            </w:pPr>
            <w:r>
              <w:rPr>
                <w:rFonts w:ascii="Bankinter" w:hAnsi="Bankinter" w:cs="Bankinter"/>
                <w:color w:val="000000" w:themeColor="text1"/>
                <w:sz w:val="20"/>
                <w:szCs w:val="20"/>
              </w:rPr>
              <w:t>-1,3</w:t>
            </w:r>
            <w:r w:rsidR="008377EC">
              <w:rPr>
                <w:rFonts w:ascii="Bankinter" w:hAnsi="Bankinter" w:cs="Bankinter"/>
                <w:color w:val="000000" w:themeColor="text1"/>
                <w:sz w:val="20"/>
                <w:szCs w:val="20"/>
              </w:rPr>
              <w:t xml:space="preserve"> p.p.</w:t>
            </w:r>
          </w:p>
        </w:tc>
        <w:tc>
          <w:tcPr>
            <w:tcW w:w="1729"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p>
        </w:tc>
      </w:tr>
      <w:tr w:rsidR="008377EC" w:rsidTr="00F46714">
        <w:trPr>
          <w:cnfStyle w:val="000000100000"/>
        </w:trPr>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Ratio de capital EBA (%)</w:t>
            </w:r>
          </w:p>
        </w:tc>
        <w:tc>
          <w:tcPr>
            <w:tcW w:w="1418" w:type="dxa"/>
          </w:tcPr>
          <w:p w:rsidR="008377EC" w:rsidRDefault="008377EC"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1</w:t>
            </w:r>
            <w:r w:rsidR="004A67F8">
              <w:rPr>
                <w:rFonts w:ascii="Bankinter" w:hAnsi="Bankinter" w:cs="Bankinter"/>
                <w:color w:val="000000" w:themeColor="text1"/>
                <w:sz w:val="20"/>
                <w:szCs w:val="20"/>
              </w:rPr>
              <w:t>1,7</w:t>
            </w:r>
          </w:p>
        </w:tc>
        <w:tc>
          <w:tcPr>
            <w:tcW w:w="1701"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9,4</w:t>
            </w:r>
          </w:p>
        </w:tc>
        <w:tc>
          <w:tcPr>
            <w:tcW w:w="1420" w:type="dxa"/>
          </w:tcPr>
          <w:p w:rsidR="008377EC" w:rsidRDefault="004A67F8" w:rsidP="00F46714">
            <w:pPr>
              <w:autoSpaceDE w:val="0"/>
              <w:autoSpaceDN w:val="0"/>
              <w:adjustRightInd w:val="0"/>
              <w:jc w:val="center"/>
              <w:cnfStyle w:val="000000100000"/>
              <w:rPr>
                <w:rFonts w:ascii="Bankinter" w:hAnsi="Bankinter" w:cs="Bankinter"/>
                <w:color w:val="000000" w:themeColor="text1"/>
                <w:sz w:val="20"/>
                <w:szCs w:val="20"/>
              </w:rPr>
            </w:pPr>
            <w:r>
              <w:rPr>
                <w:rFonts w:ascii="Bankinter" w:hAnsi="Bankinter" w:cs="Bankinter"/>
                <w:color w:val="000000" w:themeColor="text1"/>
                <w:sz w:val="20"/>
                <w:szCs w:val="20"/>
              </w:rPr>
              <w:t>2,3</w:t>
            </w:r>
            <w:r w:rsidR="008377EC">
              <w:rPr>
                <w:rFonts w:ascii="Bankinter" w:hAnsi="Bankinter" w:cs="Bankinter"/>
                <w:color w:val="000000" w:themeColor="text1"/>
                <w:sz w:val="20"/>
                <w:szCs w:val="20"/>
              </w:rPr>
              <w:t xml:space="preserve"> p.p.</w:t>
            </w:r>
          </w:p>
        </w:tc>
        <w:tc>
          <w:tcPr>
            <w:tcW w:w="1729" w:type="dxa"/>
          </w:tcPr>
          <w:p w:rsidR="008377EC" w:rsidRDefault="008377EC" w:rsidP="00F46714">
            <w:pPr>
              <w:autoSpaceDE w:val="0"/>
              <w:autoSpaceDN w:val="0"/>
              <w:adjustRightInd w:val="0"/>
              <w:jc w:val="center"/>
              <w:cnfStyle w:val="000000100000"/>
              <w:rPr>
                <w:rFonts w:ascii="Bankinter" w:hAnsi="Bankinter" w:cs="Bankinter"/>
                <w:color w:val="000000" w:themeColor="text1"/>
                <w:sz w:val="20"/>
                <w:szCs w:val="20"/>
              </w:rPr>
            </w:pPr>
          </w:p>
        </w:tc>
      </w:tr>
      <w:tr w:rsidR="008377EC" w:rsidTr="00F46714">
        <w:tc>
          <w:tcPr>
            <w:cnfStyle w:val="001000000000"/>
            <w:tcW w:w="2376" w:type="dxa"/>
          </w:tcPr>
          <w:p w:rsidR="008377EC" w:rsidRDefault="008377EC" w:rsidP="00F46714">
            <w:pPr>
              <w:autoSpaceDE w:val="0"/>
              <w:autoSpaceDN w:val="0"/>
              <w:adjustRightInd w:val="0"/>
              <w:rPr>
                <w:rFonts w:ascii="Bankinter" w:hAnsi="Bankinter" w:cs="Bankinter"/>
                <w:color w:val="000000" w:themeColor="text1"/>
                <w:sz w:val="20"/>
                <w:szCs w:val="20"/>
              </w:rPr>
            </w:pPr>
          </w:p>
        </w:tc>
        <w:tc>
          <w:tcPr>
            <w:tcW w:w="1418"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p>
        </w:tc>
        <w:tc>
          <w:tcPr>
            <w:tcW w:w="1701"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p>
        </w:tc>
        <w:tc>
          <w:tcPr>
            <w:tcW w:w="1420"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p>
        </w:tc>
        <w:tc>
          <w:tcPr>
            <w:tcW w:w="1729" w:type="dxa"/>
          </w:tcPr>
          <w:p w:rsidR="008377EC" w:rsidRDefault="008377EC" w:rsidP="00F46714">
            <w:pPr>
              <w:autoSpaceDE w:val="0"/>
              <w:autoSpaceDN w:val="0"/>
              <w:adjustRightInd w:val="0"/>
              <w:jc w:val="center"/>
              <w:cnfStyle w:val="000000000000"/>
              <w:rPr>
                <w:rFonts w:ascii="Bankinter" w:hAnsi="Bankinter" w:cs="Bankinter"/>
                <w:color w:val="000000" w:themeColor="text1"/>
                <w:sz w:val="20"/>
                <w:szCs w:val="20"/>
              </w:rPr>
            </w:pPr>
          </w:p>
        </w:tc>
      </w:tr>
    </w:tbl>
    <w:p w:rsidR="008377EC" w:rsidRDefault="008377EC" w:rsidP="008377EC">
      <w:pPr>
        <w:autoSpaceDE w:val="0"/>
        <w:autoSpaceDN w:val="0"/>
        <w:adjustRightInd w:val="0"/>
        <w:spacing w:after="0" w:line="240" w:lineRule="auto"/>
        <w:jc w:val="both"/>
        <w:rPr>
          <w:rFonts w:ascii="Bankinter" w:hAnsi="Bankinter" w:cs="Bankinter"/>
          <w:color w:val="000000" w:themeColor="text1"/>
          <w:sz w:val="20"/>
          <w:szCs w:val="20"/>
        </w:rPr>
      </w:pPr>
    </w:p>
    <w:p w:rsidR="008377EC" w:rsidRDefault="008377EC" w:rsidP="008377EC">
      <w:pPr>
        <w:autoSpaceDE w:val="0"/>
        <w:autoSpaceDN w:val="0"/>
        <w:adjustRightInd w:val="0"/>
        <w:spacing w:after="0" w:line="240" w:lineRule="auto"/>
        <w:jc w:val="both"/>
        <w:rPr>
          <w:rFonts w:ascii="Bankinter" w:hAnsi="Bankinter" w:cs="Bankinter"/>
          <w:color w:val="000000" w:themeColor="text1"/>
          <w:sz w:val="20"/>
          <w:szCs w:val="20"/>
        </w:rPr>
      </w:pPr>
      <w:r>
        <w:rPr>
          <w:rFonts w:ascii="Bankinter" w:hAnsi="Bankinter" w:cs="Bankinter"/>
          <w:color w:val="000000" w:themeColor="text1"/>
          <w:sz w:val="20"/>
          <w:szCs w:val="20"/>
        </w:rPr>
        <w:t>*Excluyendo LDA</w:t>
      </w:r>
    </w:p>
    <w:p w:rsidR="008377EC" w:rsidRDefault="008377EC" w:rsidP="008377EC">
      <w:pPr>
        <w:autoSpaceDE w:val="0"/>
        <w:autoSpaceDN w:val="0"/>
        <w:adjustRightInd w:val="0"/>
        <w:spacing w:after="0" w:line="240" w:lineRule="auto"/>
        <w:jc w:val="both"/>
        <w:rPr>
          <w:rFonts w:ascii="Bankinter" w:hAnsi="Bankinter" w:cs="Bankinter"/>
          <w:color w:val="000000" w:themeColor="text1"/>
          <w:sz w:val="20"/>
          <w:szCs w:val="20"/>
        </w:rPr>
      </w:pPr>
    </w:p>
    <w:p w:rsidR="008377EC" w:rsidRPr="003346C9" w:rsidRDefault="008377EC" w:rsidP="008377EC">
      <w:pPr>
        <w:autoSpaceDE w:val="0"/>
        <w:autoSpaceDN w:val="0"/>
        <w:adjustRightInd w:val="0"/>
        <w:spacing w:after="0" w:line="240" w:lineRule="auto"/>
        <w:jc w:val="both"/>
        <w:rPr>
          <w:rFonts w:ascii="Bankinter" w:hAnsi="Bankinter" w:cs="Bankinter"/>
          <w:color w:val="000000" w:themeColor="text1"/>
          <w:sz w:val="20"/>
          <w:szCs w:val="20"/>
        </w:rPr>
      </w:pPr>
    </w:p>
    <w:p w:rsidR="008377EC" w:rsidRDefault="008377EC" w:rsidP="008377EC">
      <w:pPr>
        <w:autoSpaceDE w:val="0"/>
        <w:autoSpaceDN w:val="0"/>
        <w:adjustRightInd w:val="0"/>
        <w:spacing w:after="0" w:line="240" w:lineRule="auto"/>
        <w:jc w:val="both"/>
        <w:rPr>
          <w:rFonts w:ascii="Bankinter" w:hAnsi="Bankinter" w:cs="Bankinter"/>
          <w:color w:val="000000" w:themeColor="text1"/>
        </w:rPr>
      </w:pPr>
    </w:p>
    <w:p w:rsidR="00130076" w:rsidRPr="00CE702D" w:rsidRDefault="00130076" w:rsidP="00CE702D"/>
    <w:sectPr w:rsidR="00130076" w:rsidRPr="00CE702D" w:rsidSect="0047116B">
      <w:footerReference w:type="default" r:id="rId7"/>
      <w:pgSz w:w="11906" w:h="16838"/>
      <w:pgMar w:top="1276" w:right="1558"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113" w:rsidRDefault="00AF4113" w:rsidP="00A2498F">
      <w:pPr>
        <w:spacing w:after="0" w:line="240" w:lineRule="auto"/>
      </w:pPr>
      <w:r>
        <w:separator/>
      </w:r>
    </w:p>
  </w:endnote>
  <w:endnote w:type="continuationSeparator" w:id="0">
    <w:p w:rsidR="00AF4113" w:rsidRDefault="00AF4113" w:rsidP="00A249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ankinter">
    <w:panose1 w:val="00000000000000000000"/>
    <w:charset w:val="00"/>
    <w:family w:val="auto"/>
    <w:pitch w:val="variable"/>
    <w:sig w:usb0="800000AF" w:usb1="1000204B" w:usb2="00000000" w:usb3="00000000" w:csb0="00000001"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BankinterText-Regular">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566720"/>
      <w:docPartObj>
        <w:docPartGallery w:val="Page Numbers (Bottom of Page)"/>
        <w:docPartUnique/>
      </w:docPartObj>
    </w:sdtPr>
    <w:sdt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22"/>
          <w:gridCol w:w="4322"/>
        </w:tblGrid>
        <w:tr w:rsidR="00897664" w:rsidRPr="00A2498F" w:rsidTr="00A2498F">
          <w:tc>
            <w:tcPr>
              <w:tcW w:w="4322" w:type="dxa"/>
            </w:tcPr>
            <w:p w:rsidR="00897664" w:rsidRDefault="00897664" w:rsidP="00A2498F">
              <w:pPr>
                <w:pStyle w:val="Piedepgina"/>
              </w:pPr>
            </w:p>
          </w:tc>
          <w:tc>
            <w:tcPr>
              <w:tcW w:w="4322" w:type="dxa"/>
            </w:tcPr>
            <w:p w:rsidR="00897664" w:rsidRPr="00A2498F" w:rsidRDefault="00897664" w:rsidP="00A2498F">
              <w:pPr>
                <w:pStyle w:val="Piedepgina"/>
                <w:jc w:val="right"/>
                <w:rPr>
                  <w:sz w:val="20"/>
                  <w:szCs w:val="20"/>
                </w:rPr>
              </w:pPr>
              <w:r w:rsidRPr="00A2498F">
                <w:rPr>
                  <w:sz w:val="20"/>
                  <w:szCs w:val="20"/>
                </w:rPr>
                <w:t>Página :</w:t>
              </w:r>
              <w:r w:rsidR="005572EB" w:rsidRPr="00A2498F">
                <w:rPr>
                  <w:sz w:val="20"/>
                  <w:szCs w:val="20"/>
                </w:rPr>
                <w:fldChar w:fldCharType="begin"/>
              </w:r>
              <w:r w:rsidRPr="00A2498F">
                <w:rPr>
                  <w:sz w:val="20"/>
                  <w:szCs w:val="20"/>
                </w:rPr>
                <w:instrText xml:space="preserve"> PAGE   \* MERGEFORMAT </w:instrText>
              </w:r>
              <w:r w:rsidR="005572EB" w:rsidRPr="00A2498F">
                <w:rPr>
                  <w:sz w:val="20"/>
                  <w:szCs w:val="20"/>
                </w:rPr>
                <w:fldChar w:fldCharType="separate"/>
              </w:r>
              <w:r w:rsidR="00433490">
                <w:rPr>
                  <w:noProof/>
                  <w:sz w:val="20"/>
                  <w:szCs w:val="20"/>
                </w:rPr>
                <w:t>1</w:t>
              </w:r>
              <w:r w:rsidR="005572EB" w:rsidRPr="00A2498F">
                <w:rPr>
                  <w:sz w:val="20"/>
                  <w:szCs w:val="20"/>
                </w:rPr>
                <w:fldChar w:fldCharType="end"/>
              </w:r>
              <w:r>
                <w:rPr>
                  <w:sz w:val="20"/>
                  <w:szCs w:val="20"/>
                </w:rPr>
                <w:t xml:space="preserve">  </w:t>
              </w:r>
            </w:p>
          </w:tc>
        </w:tr>
      </w:tbl>
      <w:p w:rsidR="00897664" w:rsidRDefault="005572EB">
        <w:pPr>
          <w:pStyle w:val="Piedepgina"/>
          <w:jc w:val="right"/>
        </w:pPr>
      </w:p>
    </w:sdtContent>
  </w:sdt>
  <w:p w:rsidR="00897664" w:rsidRDefault="0089766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113" w:rsidRDefault="00AF4113" w:rsidP="00A2498F">
      <w:pPr>
        <w:spacing w:after="0" w:line="240" w:lineRule="auto"/>
      </w:pPr>
      <w:r>
        <w:separator/>
      </w:r>
    </w:p>
  </w:footnote>
  <w:footnote w:type="continuationSeparator" w:id="0">
    <w:p w:rsidR="00AF4113" w:rsidRDefault="00AF4113" w:rsidP="00A249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1E19C0"/>
    <w:multiLevelType w:val="hybridMultilevel"/>
    <w:tmpl w:val="A35EF91E"/>
    <w:lvl w:ilvl="0" w:tplc="D1A8C484">
      <w:numFmt w:val="bullet"/>
      <w:lvlText w:val="-"/>
      <w:lvlJc w:val="left"/>
      <w:pPr>
        <w:ind w:left="720" w:hanging="360"/>
      </w:pPr>
      <w:rPr>
        <w:rFonts w:ascii="Bankinter" w:eastAsiaTheme="minorHAnsi" w:hAnsi="Bankinter" w:cs="Bankint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9697"/>
  </w:hdrShapeDefaults>
  <w:footnotePr>
    <w:footnote w:id="-1"/>
    <w:footnote w:id="0"/>
  </w:footnotePr>
  <w:endnotePr>
    <w:endnote w:id="-1"/>
    <w:endnote w:id="0"/>
  </w:endnotePr>
  <w:compat/>
  <w:rsids>
    <w:rsidRoot w:val="00600805"/>
    <w:rsid w:val="00035831"/>
    <w:rsid w:val="00036841"/>
    <w:rsid w:val="0007045A"/>
    <w:rsid w:val="00091070"/>
    <w:rsid w:val="000A59BD"/>
    <w:rsid w:val="000E1C32"/>
    <w:rsid w:val="001075A8"/>
    <w:rsid w:val="00130076"/>
    <w:rsid w:val="001813C1"/>
    <w:rsid w:val="00185BA5"/>
    <w:rsid w:val="00187AC5"/>
    <w:rsid w:val="001D0F47"/>
    <w:rsid w:val="002173F8"/>
    <w:rsid w:val="002376EF"/>
    <w:rsid w:val="00255396"/>
    <w:rsid w:val="002B09AC"/>
    <w:rsid w:val="003018A9"/>
    <w:rsid w:val="00387640"/>
    <w:rsid w:val="004011DB"/>
    <w:rsid w:val="00416C61"/>
    <w:rsid w:val="00433490"/>
    <w:rsid w:val="0047116B"/>
    <w:rsid w:val="00487623"/>
    <w:rsid w:val="004A67F8"/>
    <w:rsid w:val="00510AAA"/>
    <w:rsid w:val="005572EB"/>
    <w:rsid w:val="005735D2"/>
    <w:rsid w:val="005E4AE4"/>
    <w:rsid w:val="005E5C6A"/>
    <w:rsid w:val="00600805"/>
    <w:rsid w:val="0060155B"/>
    <w:rsid w:val="00631472"/>
    <w:rsid w:val="0063567A"/>
    <w:rsid w:val="00635F56"/>
    <w:rsid w:val="006B40E1"/>
    <w:rsid w:val="00726B30"/>
    <w:rsid w:val="007771C6"/>
    <w:rsid w:val="007F6AB8"/>
    <w:rsid w:val="0081686E"/>
    <w:rsid w:val="008377EC"/>
    <w:rsid w:val="00842A3E"/>
    <w:rsid w:val="008511FB"/>
    <w:rsid w:val="00894AB8"/>
    <w:rsid w:val="00897664"/>
    <w:rsid w:val="00987769"/>
    <w:rsid w:val="009A3886"/>
    <w:rsid w:val="009A5FDF"/>
    <w:rsid w:val="009D0BC1"/>
    <w:rsid w:val="00A2498F"/>
    <w:rsid w:val="00AB7F12"/>
    <w:rsid w:val="00AD642B"/>
    <w:rsid w:val="00AF4113"/>
    <w:rsid w:val="00B05F8C"/>
    <w:rsid w:val="00BB181A"/>
    <w:rsid w:val="00BB1CA1"/>
    <w:rsid w:val="00BF019F"/>
    <w:rsid w:val="00C158EC"/>
    <w:rsid w:val="00C407E2"/>
    <w:rsid w:val="00C60CFE"/>
    <w:rsid w:val="00CC2AE5"/>
    <w:rsid w:val="00CE702D"/>
    <w:rsid w:val="00D50067"/>
    <w:rsid w:val="00DE787E"/>
    <w:rsid w:val="00E17EE3"/>
    <w:rsid w:val="00E256E8"/>
    <w:rsid w:val="00E27EA6"/>
    <w:rsid w:val="00E31A92"/>
    <w:rsid w:val="00E4318B"/>
    <w:rsid w:val="00EE77EC"/>
    <w:rsid w:val="00F46714"/>
    <w:rsid w:val="00F56F77"/>
    <w:rsid w:val="00FD5EA4"/>
    <w:rsid w:val="00FF16A0"/>
    <w:rsid w:val="00FF17F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7EC"/>
  </w:style>
  <w:style w:type="paragraph" w:styleId="Ttulo1">
    <w:name w:val="heading 1"/>
    <w:basedOn w:val="Normal"/>
    <w:next w:val="Normal"/>
    <w:link w:val="Ttulo1Car"/>
    <w:uiPriority w:val="9"/>
    <w:qFormat/>
    <w:rsid w:val="005735D2"/>
    <w:pPr>
      <w:keepNext/>
      <w:keepLines/>
      <w:spacing w:before="480" w:after="0"/>
      <w:outlineLvl w:val="0"/>
    </w:pPr>
    <w:rPr>
      <w:rFonts w:asciiTheme="majorHAnsi" w:eastAsiaTheme="majorEastAsia" w:hAnsiTheme="majorHAnsi" w:cstheme="majorBidi"/>
      <w:b/>
      <w:bCs/>
      <w:color w:val="F56600" w:themeColor="text2"/>
      <w:sz w:val="28"/>
      <w:szCs w:val="28"/>
    </w:rPr>
  </w:style>
  <w:style w:type="paragraph" w:styleId="Ttulo2">
    <w:name w:val="heading 2"/>
    <w:basedOn w:val="Normal"/>
    <w:next w:val="Normal"/>
    <w:link w:val="Ttulo2Car"/>
    <w:uiPriority w:val="9"/>
    <w:semiHidden/>
    <w:unhideWhenUsed/>
    <w:qFormat/>
    <w:rsid w:val="005735D2"/>
    <w:pPr>
      <w:keepNext/>
      <w:keepLines/>
      <w:spacing w:before="200" w:after="0"/>
      <w:outlineLvl w:val="1"/>
    </w:pPr>
    <w:rPr>
      <w:rFonts w:asciiTheme="majorHAnsi" w:eastAsiaTheme="majorEastAsia" w:hAnsiTheme="majorHAnsi" w:cstheme="majorBidi"/>
      <w:b/>
      <w:bCs/>
      <w:color w:val="F56600" w:themeColor="text2"/>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35D2"/>
    <w:rPr>
      <w:rFonts w:asciiTheme="majorHAnsi" w:eastAsiaTheme="majorEastAsia" w:hAnsiTheme="majorHAnsi" w:cstheme="majorBidi"/>
      <w:b/>
      <w:bCs/>
      <w:color w:val="F56600" w:themeColor="text2"/>
      <w:sz w:val="28"/>
      <w:szCs w:val="28"/>
    </w:rPr>
  </w:style>
  <w:style w:type="character" w:customStyle="1" w:styleId="Ttulo2Car">
    <w:name w:val="Título 2 Car"/>
    <w:basedOn w:val="Fuentedeprrafopredeter"/>
    <w:link w:val="Ttulo2"/>
    <w:uiPriority w:val="9"/>
    <w:semiHidden/>
    <w:rsid w:val="005735D2"/>
    <w:rPr>
      <w:rFonts w:asciiTheme="majorHAnsi" w:eastAsiaTheme="majorEastAsia" w:hAnsiTheme="majorHAnsi" w:cstheme="majorBidi"/>
      <w:b/>
      <w:bCs/>
      <w:color w:val="F56600" w:themeColor="text2"/>
      <w:sz w:val="26"/>
      <w:szCs w:val="26"/>
    </w:rPr>
  </w:style>
  <w:style w:type="paragraph" w:styleId="Ttulo">
    <w:name w:val="Title"/>
    <w:basedOn w:val="Normal"/>
    <w:next w:val="Normal"/>
    <w:link w:val="TtuloCar"/>
    <w:uiPriority w:val="10"/>
    <w:qFormat/>
    <w:rsid w:val="005735D2"/>
    <w:pPr>
      <w:pBdr>
        <w:bottom w:val="single" w:sz="8" w:space="4" w:color="FFFF99" w:themeColor="accent1"/>
      </w:pBdr>
      <w:spacing w:after="300" w:line="240" w:lineRule="auto"/>
      <w:contextualSpacing/>
    </w:pPr>
    <w:rPr>
      <w:rFonts w:asciiTheme="majorHAnsi" w:eastAsiaTheme="majorEastAsia" w:hAnsiTheme="majorHAnsi" w:cstheme="majorBidi"/>
      <w:color w:val="63544A"/>
      <w:spacing w:val="5"/>
      <w:kern w:val="28"/>
      <w:sz w:val="52"/>
      <w:szCs w:val="52"/>
    </w:rPr>
  </w:style>
  <w:style w:type="character" w:customStyle="1" w:styleId="TtuloCar">
    <w:name w:val="Título Car"/>
    <w:basedOn w:val="Fuentedeprrafopredeter"/>
    <w:link w:val="Ttulo"/>
    <w:uiPriority w:val="10"/>
    <w:rsid w:val="005735D2"/>
    <w:rPr>
      <w:rFonts w:asciiTheme="majorHAnsi" w:eastAsiaTheme="majorEastAsia" w:hAnsiTheme="majorHAnsi" w:cstheme="majorBidi"/>
      <w:color w:val="63544A"/>
      <w:spacing w:val="5"/>
      <w:kern w:val="28"/>
      <w:sz w:val="52"/>
      <w:szCs w:val="52"/>
    </w:rPr>
  </w:style>
  <w:style w:type="paragraph" w:styleId="Subttulo">
    <w:name w:val="Subtitle"/>
    <w:basedOn w:val="Normal"/>
    <w:next w:val="Normal"/>
    <w:link w:val="SubttuloCar"/>
    <w:uiPriority w:val="11"/>
    <w:qFormat/>
    <w:rsid w:val="005735D2"/>
    <w:pPr>
      <w:numPr>
        <w:ilvl w:val="1"/>
      </w:numPr>
    </w:pPr>
    <w:rPr>
      <w:rFonts w:asciiTheme="majorHAnsi" w:eastAsiaTheme="majorEastAsia" w:hAnsiTheme="majorHAnsi" w:cstheme="majorBidi"/>
      <w:i/>
      <w:iCs/>
      <w:color w:val="F56600" w:themeColor="text2"/>
      <w:spacing w:val="15"/>
      <w:sz w:val="24"/>
      <w:szCs w:val="24"/>
    </w:rPr>
  </w:style>
  <w:style w:type="character" w:customStyle="1" w:styleId="SubttuloCar">
    <w:name w:val="Subtítulo Car"/>
    <w:basedOn w:val="Fuentedeprrafopredeter"/>
    <w:link w:val="Subttulo"/>
    <w:uiPriority w:val="11"/>
    <w:rsid w:val="005735D2"/>
    <w:rPr>
      <w:rFonts w:asciiTheme="majorHAnsi" w:eastAsiaTheme="majorEastAsia" w:hAnsiTheme="majorHAnsi" w:cstheme="majorBidi"/>
      <w:i/>
      <w:iCs/>
      <w:color w:val="F56600" w:themeColor="text2"/>
      <w:spacing w:val="15"/>
      <w:sz w:val="24"/>
      <w:szCs w:val="24"/>
    </w:rPr>
  </w:style>
  <w:style w:type="character" w:styleId="nfasisintenso">
    <w:name w:val="Intense Emphasis"/>
    <w:basedOn w:val="Fuentedeprrafopredeter"/>
    <w:uiPriority w:val="21"/>
    <w:qFormat/>
    <w:rsid w:val="005735D2"/>
    <w:rPr>
      <w:b/>
      <w:bCs/>
      <w:i/>
      <w:iCs/>
      <w:color w:val="F56600" w:themeColor="text2"/>
    </w:rPr>
  </w:style>
  <w:style w:type="paragraph" w:styleId="Citadestacada">
    <w:name w:val="Intense Quote"/>
    <w:basedOn w:val="Normal"/>
    <w:next w:val="Normal"/>
    <w:link w:val="CitadestacadaCar"/>
    <w:uiPriority w:val="30"/>
    <w:qFormat/>
    <w:rsid w:val="005735D2"/>
    <w:pPr>
      <w:pBdr>
        <w:bottom w:val="single" w:sz="4" w:space="4" w:color="FFFF99" w:themeColor="accent1"/>
      </w:pBdr>
      <w:spacing w:before="200" w:after="280"/>
      <w:ind w:left="936" w:right="936"/>
    </w:pPr>
    <w:rPr>
      <w:b/>
      <w:bCs/>
      <w:i/>
      <w:iCs/>
      <w:color w:val="F56600" w:themeColor="text2"/>
    </w:rPr>
  </w:style>
  <w:style w:type="character" w:customStyle="1" w:styleId="CitadestacadaCar">
    <w:name w:val="Cita destacada Car"/>
    <w:basedOn w:val="Fuentedeprrafopredeter"/>
    <w:link w:val="Citadestacada"/>
    <w:uiPriority w:val="30"/>
    <w:rsid w:val="005735D2"/>
    <w:rPr>
      <w:b/>
      <w:bCs/>
      <w:i/>
      <w:iCs/>
      <w:color w:val="F56600" w:themeColor="text2"/>
    </w:rPr>
  </w:style>
  <w:style w:type="table" w:styleId="Tablaconcuadrcula">
    <w:name w:val="Table Grid"/>
    <w:basedOn w:val="Tablanormal"/>
    <w:uiPriority w:val="59"/>
    <w:rsid w:val="0013007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Sombreadoclaro-nfasis5">
    <w:name w:val="Light Shading Accent 5"/>
    <w:basedOn w:val="Tablanormal"/>
    <w:uiPriority w:val="60"/>
    <w:rsid w:val="00130076"/>
    <w:pPr>
      <w:spacing w:after="0" w:line="240" w:lineRule="auto"/>
    </w:pPr>
    <w:rPr>
      <w:color w:val="000000" w:themeColor="accent5" w:themeShade="BF"/>
    </w:rPr>
    <w:tblPr>
      <w:tblStyleRowBandSize w:val="1"/>
      <w:tblStyleColBandSize w:val="1"/>
      <w:tblInd w:w="0" w:type="dxa"/>
      <w:tblBorders>
        <w:top w:val="single" w:sz="8" w:space="0" w:color="000000" w:themeColor="accent5"/>
        <w:bottom w:val="single" w:sz="8" w:space="0" w:color="000000"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accent5"/>
          <w:left w:val="nil"/>
          <w:bottom w:val="single" w:sz="8" w:space="0" w:color="000000" w:themeColor="accent5"/>
          <w:right w:val="nil"/>
          <w:insideH w:val="nil"/>
          <w:insideV w:val="nil"/>
        </w:tcBorders>
      </w:tcPr>
    </w:tblStylePr>
    <w:tblStylePr w:type="lastRow">
      <w:pPr>
        <w:spacing w:before="0" w:after="0" w:line="240" w:lineRule="auto"/>
      </w:pPr>
      <w:rPr>
        <w:b/>
        <w:bCs/>
      </w:rPr>
      <w:tblPr/>
      <w:tcPr>
        <w:tcBorders>
          <w:top w:val="single" w:sz="8" w:space="0" w:color="000000" w:themeColor="accent5"/>
          <w:left w:val="nil"/>
          <w:bottom w:val="single" w:sz="8" w:space="0" w:color="0000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5" w:themeFillTint="3F"/>
      </w:tcPr>
    </w:tblStylePr>
    <w:tblStylePr w:type="band1Horz">
      <w:tblPr/>
      <w:tcPr>
        <w:tcBorders>
          <w:left w:val="nil"/>
          <w:right w:val="nil"/>
          <w:insideH w:val="nil"/>
          <w:insideV w:val="nil"/>
        </w:tcBorders>
        <w:shd w:val="clear" w:color="auto" w:fill="C0C0C0" w:themeFill="accent5" w:themeFillTint="3F"/>
      </w:tcPr>
    </w:tblStylePr>
  </w:style>
  <w:style w:type="table" w:styleId="Listaclara-nfasis2">
    <w:name w:val="Light List Accent 2"/>
    <w:aliases w:val="Bankinter Naranja"/>
    <w:basedOn w:val="Tablanormal"/>
    <w:uiPriority w:val="61"/>
    <w:rsid w:val="00130076"/>
    <w:pPr>
      <w:spacing w:after="0" w:line="240" w:lineRule="auto"/>
    </w:pPr>
    <w:tblPr>
      <w:tblStyleRowBandSize w:val="1"/>
      <w:tblStyleColBandSize w:val="1"/>
      <w:tblInd w:w="0" w:type="dxa"/>
      <w:tblBorders>
        <w:top w:val="single" w:sz="8" w:space="0" w:color="F56600" w:themeColor="accent2"/>
        <w:left w:val="single" w:sz="8" w:space="0" w:color="F56600" w:themeColor="accent2"/>
        <w:bottom w:val="single" w:sz="8" w:space="0" w:color="F56600" w:themeColor="accent2"/>
        <w:right w:val="single" w:sz="8" w:space="0" w:color="F5660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56600" w:themeFill="accent2"/>
      </w:tcPr>
    </w:tblStylePr>
    <w:tblStylePr w:type="lastRow">
      <w:pPr>
        <w:spacing w:before="0" w:after="0" w:line="240" w:lineRule="auto"/>
      </w:pPr>
      <w:rPr>
        <w:b/>
        <w:bCs/>
      </w:rPr>
      <w:tblPr/>
      <w:tcPr>
        <w:tcBorders>
          <w:top w:val="double" w:sz="6" w:space="0" w:color="F56600" w:themeColor="accent2"/>
          <w:left w:val="single" w:sz="8" w:space="0" w:color="F56600" w:themeColor="accent2"/>
          <w:bottom w:val="single" w:sz="8" w:space="0" w:color="F56600" w:themeColor="accent2"/>
          <w:right w:val="single" w:sz="8" w:space="0" w:color="F56600" w:themeColor="accent2"/>
        </w:tcBorders>
      </w:tcPr>
    </w:tblStylePr>
    <w:tblStylePr w:type="firstCol">
      <w:rPr>
        <w:b/>
        <w:bCs/>
      </w:rPr>
    </w:tblStylePr>
    <w:tblStylePr w:type="lastCol">
      <w:rPr>
        <w:b/>
        <w:bCs/>
      </w:rPr>
    </w:tblStylePr>
    <w:tblStylePr w:type="band1Vert">
      <w:tblPr/>
      <w:tcPr>
        <w:tcBorders>
          <w:top w:val="single" w:sz="8" w:space="0" w:color="F56600" w:themeColor="accent2"/>
          <w:left w:val="single" w:sz="8" w:space="0" w:color="F56600" w:themeColor="accent2"/>
          <w:bottom w:val="single" w:sz="8" w:space="0" w:color="F56600" w:themeColor="accent2"/>
          <w:right w:val="single" w:sz="8" w:space="0" w:color="F56600" w:themeColor="accent2"/>
        </w:tcBorders>
      </w:tcPr>
    </w:tblStylePr>
    <w:tblStylePr w:type="band1Horz">
      <w:tblPr/>
      <w:tcPr>
        <w:tcBorders>
          <w:top w:val="single" w:sz="8" w:space="0" w:color="F56600" w:themeColor="accent2"/>
          <w:left w:val="single" w:sz="8" w:space="0" w:color="F56600" w:themeColor="accent2"/>
          <w:bottom w:val="single" w:sz="8" w:space="0" w:color="F56600" w:themeColor="accent2"/>
          <w:right w:val="single" w:sz="8" w:space="0" w:color="F56600" w:themeColor="accent2"/>
        </w:tcBorders>
      </w:tcPr>
    </w:tblStylePr>
  </w:style>
  <w:style w:type="table" w:styleId="Sombreadomedio1-nfasis2">
    <w:name w:val="Medium Shading 1 Accent 2"/>
    <w:aliases w:val="Bankinter Pijama"/>
    <w:basedOn w:val="Tablanormal"/>
    <w:uiPriority w:val="63"/>
    <w:rsid w:val="00130076"/>
    <w:pPr>
      <w:spacing w:after="0" w:line="240" w:lineRule="auto"/>
    </w:pPr>
    <w:tblPr>
      <w:tblStyleRowBandSize w:val="1"/>
      <w:tblStyleColBandSize w:val="1"/>
      <w:tblInd w:w="0" w:type="dxa"/>
      <w:tblBorders>
        <w:top w:val="single" w:sz="8"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single" w:sz="8" w:space="0" w:color="FF8A38"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nil"/>
          <w:insideV w:val="nil"/>
        </w:tcBorders>
        <w:shd w:val="clear" w:color="auto" w:fill="F56600" w:themeFill="accent2"/>
      </w:tcPr>
    </w:tblStylePr>
    <w:tblStylePr w:type="lastRow">
      <w:pPr>
        <w:spacing w:before="0" w:after="0" w:line="240" w:lineRule="auto"/>
      </w:pPr>
      <w:rPr>
        <w:b/>
        <w:bCs/>
      </w:rPr>
      <w:tblPr/>
      <w:tcPr>
        <w:tcBorders>
          <w:top w:val="double" w:sz="6"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8BD" w:themeFill="accent2" w:themeFillTint="3F"/>
      </w:tcPr>
    </w:tblStylePr>
    <w:tblStylePr w:type="band1Horz">
      <w:tblPr/>
      <w:tcPr>
        <w:tcBorders>
          <w:insideH w:val="nil"/>
          <w:insideV w:val="nil"/>
        </w:tcBorders>
        <w:shd w:val="clear" w:color="auto" w:fill="FFD8BD" w:themeFill="accent2" w:themeFillTint="3F"/>
      </w:tcPr>
    </w:tblStylePr>
    <w:tblStylePr w:type="band2Horz">
      <w:tblPr/>
      <w:tcPr>
        <w:tcBorders>
          <w:insideH w:val="nil"/>
          <w:insideV w:val="nil"/>
        </w:tcBorders>
      </w:tcPr>
    </w:tblStylePr>
  </w:style>
  <w:style w:type="table" w:styleId="Sombreadomedio2-nfasis2">
    <w:name w:val="Medium Shading 2 Accent 2"/>
    <w:basedOn w:val="Tablanormal"/>
    <w:uiPriority w:val="64"/>
    <w:rsid w:val="00130076"/>
    <w:pPr>
      <w:spacing w:after="0" w:line="240" w:lineRule="auto"/>
    </w:pPr>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66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56600" w:themeFill="accent2"/>
      </w:tcPr>
    </w:tblStylePr>
    <w:tblStylePr w:type="lastCol">
      <w:rPr>
        <w:b/>
        <w:bCs/>
        <w:color w:val="FFFFFF" w:themeColor="background1"/>
      </w:rPr>
      <w:tblPr/>
      <w:tcPr>
        <w:tcBorders>
          <w:left w:val="nil"/>
          <w:right w:val="nil"/>
          <w:insideH w:val="nil"/>
          <w:insideV w:val="nil"/>
        </w:tcBorders>
        <w:shd w:val="clear" w:color="auto" w:fill="F566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cabezado">
    <w:name w:val="header"/>
    <w:basedOn w:val="Normal"/>
    <w:link w:val="EncabezadoCar"/>
    <w:uiPriority w:val="99"/>
    <w:unhideWhenUsed/>
    <w:rsid w:val="00A2498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498F"/>
  </w:style>
  <w:style w:type="paragraph" w:styleId="Piedepgina">
    <w:name w:val="footer"/>
    <w:basedOn w:val="Normal"/>
    <w:link w:val="PiedepginaCar"/>
    <w:uiPriority w:val="99"/>
    <w:unhideWhenUsed/>
    <w:rsid w:val="00A2498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498F"/>
  </w:style>
  <w:style w:type="paragraph" w:styleId="Textodeglobo">
    <w:name w:val="Balloon Text"/>
    <w:basedOn w:val="Normal"/>
    <w:link w:val="TextodegloboCar"/>
    <w:uiPriority w:val="99"/>
    <w:semiHidden/>
    <w:unhideWhenUsed/>
    <w:rsid w:val="00A249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98F"/>
    <w:rPr>
      <w:rFonts w:ascii="Tahoma" w:hAnsi="Tahoma" w:cs="Tahoma"/>
      <w:sz w:val="16"/>
      <w:szCs w:val="16"/>
    </w:rPr>
  </w:style>
  <w:style w:type="character" w:styleId="Hipervnculo">
    <w:name w:val="Hyperlink"/>
    <w:basedOn w:val="Fuentedeprrafopredeter"/>
    <w:uiPriority w:val="99"/>
    <w:unhideWhenUsed/>
    <w:rsid w:val="008377EC"/>
    <w:rPr>
      <w:color w:val="F56600" w:themeColor="hyperlink"/>
      <w:u w:val="single"/>
    </w:rPr>
  </w:style>
  <w:style w:type="paragraph" w:styleId="Prrafodelista">
    <w:name w:val="List Paragraph"/>
    <w:basedOn w:val="Normal"/>
    <w:uiPriority w:val="34"/>
    <w:qFormat/>
    <w:rsid w:val="006B40E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bankinter">
  <a:themeElements>
    <a:clrScheme name="Bankinter">
      <a:dk1>
        <a:srgbClr val="000000"/>
      </a:dk1>
      <a:lt1>
        <a:srgbClr val="FFFFFF"/>
      </a:lt1>
      <a:dk2>
        <a:srgbClr val="F56600"/>
      </a:dk2>
      <a:lt2>
        <a:srgbClr val="B5D9DE"/>
      </a:lt2>
      <a:accent1>
        <a:srgbClr val="FFFF99"/>
      </a:accent1>
      <a:accent2>
        <a:srgbClr val="F56600"/>
      </a:accent2>
      <a:accent3>
        <a:srgbClr val="FFFFFF"/>
      </a:accent3>
      <a:accent4>
        <a:srgbClr val="B5D9DE"/>
      </a:accent4>
      <a:accent5>
        <a:srgbClr val="000000"/>
      </a:accent5>
      <a:accent6>
        <a:srgbClr val="D2E8EB"/>
      </a:accent6>
      <a:hlink>
        <a:srgbClr val="F56600"/>
      </a:hlink>
      <a:folHlink>
        <a:srgbClr val="63544A"/>
      </a:folHlink>
    </a:clrScheme>
    <a:fontScheme name="Bankinter">
      <a:majorFont>
        <a:latin typeface="Bankinter"/>
        <a:ea typeface=""/>
        <a:cs typeface=""/>
      </a:majorFont>
      <a:minorFont>
        <a:latin typeface="Bankinter"/>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1366</Words>
  <Characters>7513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Marca</vt:lpstr>
    </vt:vector>
  </TitlesOfParts>
  <Company>BK</Company>
  <LinksUpToDate>false</LinksUpToDate>
  <CharactersWithSpaces>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dc:title>
  <dc:subject/>
  <dc:creator>Administrador</dc:creator>
  <cp:keywords/>
  <dc:description/>
  <cp:lastModifiedBy>BK</cp:lastModifiedBy>
  <cp:revision>2</cp:revision>
  <cp:lastPrinted>2013-07-24T16:14:00Z</cp:lastPrinted>
  <dcterms:created xsi:type="dcterms:W3CDTF">2013-10-24T06:20:00Z</dcterms:created>
  <dcterms:modified xsi:type="dcterms:W3CDTF">2013-10-24T06:20:00Z</dcterms:modified>
</cp:coreProperties>
</file>