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DF7" w:rsidRDefault="00A24DF7" w:rsidP="00A24DF7">
      <w:pPr>
        <w:autoSpaceDE w:val="0"/>
        <w:autoSpaceDN w:val="0"/>
        <w:adjustRightInd w:val="0"/>
        <w:jc w:val="center"/>
        <w:rPr>
          <w:rFonts w:ascii="Arial" w:hAnsi="Arial" w:cs="Arial"/>
          <w:b/>
          <w:bCs/>
          <w:lang w:val="es-ES_tradnl"/>
        </w:rPr>
      </w:pPr>
      <w:r>
        <w:rPr>
          <w:rFonts w:ascii="Arial" w:hAnsi="Arial" w:cs="Arial"/>
          <w:b/>
          <w:bCs/>
          <w:lang w:val="es-ES_tradnl"/>
        </w:rPr>
        <w:t>ADVEO GROUP INTERNATIONAL, S.A. Y SOCIEDADES DEPENDIENTES</w:t>
      </w:r>
    </w:p>
    <w:p w:rsidR="00A24DF7" w:rsidRDefault="00A24DF7" w:rsidP="00A24DF7">
      <w:pPr>
        <w:autoSpaceDE w:val="0"/>
        <w:autoSpaceDN w:val="0"/>
        <w:adjustRightInd w:val="0"/>
        <w:jc w:val="center"/>
        <w:rPr>
          <w:rFonts w:ascii="Arial" w:hAnsi="Arial" w:cs="Arial"/>
          <w:b/>
          <w:bCs/>
          <w:lang w:val="es-ES_tradnl"/>
        </w:rPr>
      </w:pPr>
    </w:p>
    <w:p w:rsidR="00A24DF7" w:rsidRDefault="00A24DF7" w:rsidP="00A24DF7">
      <w:pPr>
        <w:autoSpaceDE w:val="0"/>
        <w:autoSpaceDN w:val="0"/>
        <w:adjustRightInd w:val="0"/>
        <w:jc w:val="center"/>
        <w:rPr>
          <w:rFonts w:ascii="Arial" w:hAnsi="Arial" w:cs="Arial"/>
          <w:b/>
          <w:bCs/>
          <w:lang w:val="es-ES_tradnl"/>
        </w:rPr>
      </w:pPr>
    </w:p>
    <w:p w:rsidR="00A24DF7" w:rsidRDefault="00A24DF7" w:rsidP="00A24DF7">
      <w:pPr>
        <w:autoSpaceDE w:val="0"/>
        <w:autoSpaceDN w:val="0"/>
        <w:adjustRightInd w:val="0"/>
        <w:jc w:val="center"/>
        <w:rPr>
          <w:rFonts w:ascii="Arial" w:hAnsi="Arial" w:cs="Arial"/>
          <w:b/>
          <w:bCs/>
          <w:lang w:val="es-ES_tradnl"/>
        </w:rPr>
      </w:pPr>
      <w:r w:rsidRPr="0078116A">
        <w:rPr>
          <w:rFonts w:ascii="Arial" w:hAnsi="Arial" w:cs="Arial"/>
          <w:b/>
          <w:bCs/>
          <w:lang w:val="es-ES_tradnl"/>
        </w:rPr>
        <w:t>V. NOTAS EXPLICA</w:t>
      </w:r>
      <w:r>
        <w:rPr>
          <w:rFonts w:ascii="Arial" w:hAnsi="Arial" w:cs="Arial"/>
          <w:b/>
          <w:bCs/>
          <w:lang w:val="es-ES_tradnl"/>
        </w:rPr>
        <w:t xml:space="preserve">TIVAS A LOS ESTADOS FINANCIEROS </w:t>
      </w:r>
      <w:r w:rsidRPr="0078116A">
        <w:rPr>
          <w:rFonts w:ascii="Arial" w:hAnsi="Arial" w:cs="Arial"/>
          <w:b/>
          <w:bCs/>
          <w:lang w:val="es-ES_tradnl"/>
        </w:rPr>
        <w:t xml:space="preserve">CONSOLIDADOS INTERMEDIOS </w:t>
      </w:r>
      <w:r>
        <w:rPr>
          <w:rFonts w:ascii="Arial" w:hAnsi="Arial" w:cs="Arial"/>
          <w:b/>
          <w:bCs/>
          <w:lang w:val="es-ES_tradnl"/>
        </w:rPr>
        <w:t xml:space="preserve">DEL </w:t>
      </w:r>
      <w:r w:rsidR="00C437D5">
        <w:rPr>
          <w:rFonts w:ascii="Arial" w:hAnsi="Arial" w:cs="Arial"/>
          <w:b/>
          <w:bCs/>
          <w:lang w:val="es-ES_tradnl"/>
        </w:rPr>
        <w:t>PRIMER</w:t>
      </w:r>
      <w:r>
        <w:rPr>
          <w:rFonts w:ascii="Arial" w:hAnsi="Arial" w:cs="Arial"/>
          <w:b/>
          <w:bCs/>
          <w:lang w:val="es-ES_tradnl"/>
        </w:rPr>
        <w:t xml:space="preserve"> SEMESTRE DEL EJERCICIO 201</w:t>
      </w:r>
      <w:r w:rsidR="00C437D5">
        <w:rPr>
          <w:rFonts w:ascii="Arial" w:hAnsi="Arial" w:cs="Arial"/>
          <w:b/>
          <w:bCs/>
          <w:lang w:val="es-ES_tradnl"/>
        </w:rPr>
        <w:t>6</w:t>
      </w:r>
    </w:p>
    <w:p w:rsidR="00A24DF7" w:rsidRDefault="00A24DF7" w:rsidP="00A24DF7">
      <w:pPr>
        <w:autoSpaceDE w:val="0"/>
        <w:autoSpaceDN w:val="0"/>
        <w:adjustRightInd w:val="0"/>
        <w:jc w:val="center"/>
        <w:rPr>
          <w:rFonts w:ascii="Arial" w:hAnsi="Arial" w:cs="Arial"/>
          <w:b/>
          <w:bCs/>
          <w:lang w:val="es-ES_tradnl"/>
        </w:rPr>
      </w:pPr>
    </w:p>
    <w:p w:rsidR="00A24DF7" w:rsidRDefault="00A24DF7" w:rsidP="00A24DF7">
      <w:pPr>
        <w:autoSpaceDE w:val="0"/>
        <w:autoSpaceDN w:val="0"/>
        <w:adjustRightInd w:val="0"/>
        <w:jc w:val="center"/>
        <w:rPr>
          <w:rFonts w:ascii="Arial" w:hAnsi="Arial" w:cs="Arial"/>
          <w:b/>
          <w:bCs/>
          <w:lang w:val="es-ES_tradnl"/>
        </w:rPr>
      </w:pPr>
    </w:p>
    <w:p w:rsidR="00A24DF7" w:rsidRPr="0078116A" w:rsidRDefault="00A24DF7" w:rsidP="00A24DF7">
      <w:pPr>
        <w:autoSpaceDE w:val="0"/>
        <w:autoSpaceDN w:val="0"/>
        <w:adjustRightInd w:val="0"/>
        <w:jc w:val="center"/>
        <w:rPr>
          <w:rFonts w:ascii="Arial" w:hAnsi="Arial" w:cs="Arial"/>
          <w:b/>
          <w:bCs/>
          <w:lang w:val="es-ES_tradnl"/>
        </w:rPr>
      </w:pPr>
    </w:p>
    <w:p w:rsidR="00A24DF7" w:rsidRPr="0078116A" w:rsidRDefault="00A24DF7" w:rsidP="00A24DF7">
      <w:pPr>
        <w:numPr>
          <w:ilvl w:val="0"/>
          <w:numId w:val="1"/>
        </w:numPr>
        <w:autoSpaceDE w:val="0"/>
        <w:autoSpaceDN w:val="0"/>
        <w:adjustRightInd w:val="0"/>
        <w:rPr>
          <w:rFonts w:ascii="Arial" w:hAnsi="Arial" w:cs="Arial"/>
          <w:b/>
          <w:bCs/>
          <w:lang w:val="es-ES_tradnl"/>
        </w:rPr>
      </w:pPr>
      <w:r w:rsidRPr="0078116A">
        <w:rPr>
          <w:rFonts w:ascii="Arial" w:hAnsi="Arial" w:cs="Arial"/>
          <w:b/>
          <w:bCs/>
          <w:lang w:val="es-ES_tradnl"/>
        </w:rPr>
        <w:t>Criterios contables</w:t>
      </w:r>
    </w:p>
    <w:p w:rsidR="00A24DF7" w:rsidRPr="0078116A" w:rsidRDefault="00A24DF7" w:rsidP="00A24DF7">
      <w:pPr>
        <w:autoSpaceDE w:val="0"/>
        <w:autoSpaceDN w:val="0"/>
        <w:adjustRightInd w:val="0"/>
        <w:rPr>
          <w:rFonts w:ascii="Arial" w:hAnsi="Arial" w:cs="Arial"/>
          <w:b/>
          <w:bCs/>
          <w:lang w:val="es-ES_tradnl"/>
        </w:rPr>
      </w:pPr>
    </w:p>
    <w:p w:rsidR="00A24DF7" w:rsidRPr="0078116A" w:rsidRDefault="00A24DF7" w:rsidP="00A24DF7">
      <w:pPr>
        <w:autoSpaceDE w:val="0"/>
        <w:autoSpaceDN w:val="0"/>
        <w:adjustRightInd w:val="0"/>
        <w:jc w:val="both"/>
        <w:rPr>
          <w:rFonts w:ascii="Arial" w:hAnsi="Arial" w:cs="Arial"/>
          <w:u w:val="single"/>
          <w:lang w:val="es-ES_tradnl"/>
        </w:rPr>
      </w:pPr>
      <w:r w:rsidRPr="0078116A">
        <w:rPr>
          <w:rFonts w:ascii="Arial" w:hAnsi="Arial" w:cs="Arial"/>
          <w:u w:val="single"/>
          <w:lang w:val="es-ES_tradnl"/>
        </w:rPr>
        <w:t xml:space="preserve">Estados Financieros Consolidados </w:t>
      </w:r>
    </w:p>
    <w:p w:rsidR="00A24DF7" w:rsidRPr="0078116A" w:rsidRDefault="00A24DF7" w:rsidP="00A24DF7">
      <w:pPr>
        <w:autoSpaceDE w:val="0"/>
        <w:autoSpaceDN w:val="0"/>
        <w:adjustRightInd w:val="0"/>
        <w:jc w:val="both"/>
        <w:rPr>
          <w:rFonts w:ascii="Arial" w:hAnsi="Arial" w:cs="Arial"/>
          <w:lang w:val="es-ES_tradnl"/>
        </w:rPr>
      </w:pPr>
    </w:p>
    <w:p w:rsidR="00A24DF7" w:rsidRPr="0078116A" w:rsidRDefault="00A24DF7" w:rsidP="00A24DF7">
      <w:pPr>
        <w:autoSpaceDE w:val="0"/>
        <w:autoSpaceDN w:val="0"/>
        <w:adjustRightInd w:val="0"/>
        <w:jc w:val="both"/>
        <w:rPr>
          <w:rFonts w:ascii="Arial" w:hAnsi="Arial" w:cs="Arial"/>
          <w:lang w:val="es-ES_tradnl"/>
        </w:rPr>
      </w:pPr>
      <w:r w:rsidRPr="0078116A">
        <w:rPr>
          <w:rFonts w:ascii="Arial" w:hAnsi="Arial" w:cs="Arial"/>
          <w:lang w:val="es-ES_tradnl"/>
        </w:rPr>
        <w:t xml:space="preserve">Los criterios contables y métodos de consolidación aplicados en la preparación de </w:t>
      </w:r>
      <w:r>
        <w:rPr>
          <w:rFonts w:ascii="Arial" w:hAnsi="Arial" w:cs="Arial"/>
          <w:lang w:val="es-ES_tradnl"/>
        </w:rPr>
        <w:t xml:space="preserve">los </w:t>
      </w:r>
      <w:r w:rsidRPr="0078116A">
        <w:rPr>
          <w:rFonts w:ascii="Arial" w:hAnsi="Arial" w:cs="Arial"/>
          <w:lang w:val="es-ES_tradnl"/>
        </w:rPr>
        <w:t xml:space="preserve">Estados Financieros Consolidados Intermedios </w:t>
      </w:r>
      <w:r>
        <w:rPr>
          <w:rFonts w:ascii="Arial" w:hAnsi="Arial" w:cs="Arial"/>
          <w:lang w:val="es-ES_tradnl"/>
        </w:rPr>
        <w:t xml:space="preserve">correspondientes al </w:t>
      </w:r>
      <w:r w:rsidR="00C437D5">
        <w:rPr>
          <w:rFonts w:ascii="Arial" w:hAnsi="Arial" w:cs="Arial"/>
          <w:lang w:val="es-ES_tradnl"/>
        </w:rPr>
        <w:t>primer semestre del ejercicio 2016</w:t>
      </w:r>
      <w:r>
        <w:rPr>
          <w:rFonts w:ascii="Arial" w:hAnsi="Arial" w:cs="Arial"/>
          <w:lang w:val="es-ES_tradnl"/>
        </w:rPr>
        <w:t xml:space="preserve"> </w:t>
      </w:r>
      <w:r w:rsidRPr="0078116A">
        <w:rPr>
          <w:rFonts w:ascii="Arial" w:hAnsi="Arial" w:cs="Arial"/>
          <w:lang w:val="es-ES_tradnl"/>
        </w:rPr>
        <w:t xml:space="preserve">coinciden en su totalidad con los utilizados en la elaboración de las Cuentas Anuales Consolidadas del Grupo </w:t>
      </w:r>
      <w:r>
        <w:rPr>
          <w:rFonts w:ascii="Arial" w:hAnsi="Arial" w:cs="Arial"/>
          <w:lang w:val="es-ES_tradnl"/>
        </w:rPr>
        <w:t>Adveo</w:t>
      </w:r>
      <w:r w:rsidRPr="0078116A">
        <w:rPr>
          <w:rFonts w:ascii="Arial" w:hAnsi="Arial" w:cs="Arial"/>
          <w:lang w:val="es-ES_tradnl"/>
        </w:rPr>
        <w:t xml:space="preserve"> del ejercicio anual finalizado el 31 de diciembre de 201</w:t>
      </w:r>
      <w:r w:rsidR="00C437D5">
        <w:rPr>
          <w:rFonts w:ascii="Arial" w:hAnsi="Arial" w:cs="Arial"/>
          <w:lang w:val="es-ES_tradnl"/>
        </w:rPr>
        <w:t>5</w:t>
      </w:r>
      <w:r w:rsidRPr="0078116A">
        <w:rPr>
          <w:rFonts w:ascii="Arial" w:hAnsi="Arial" w:cs="Arial"/>
          <w:lang w:val="es-ES_tradnl"/>
        </w:rPr>
        <w:t>.</w:t>
      </w:r>
    </w:p>
    <w:p w:rsidR="00A24DF7" w:rsidRPr="0078116A" w:rsidRDefault="00A24DF7" w:rsidP="00A24DF7">
      <w:pPr>
        <w:autoSpaceDE w:val="0"/>
        <w:autoSpaceDN w:val="0"/>
        <w:adjustRightInd w:val="0"/>
        <w:jc w:val="both"/>
        <w:rPr>
          <w:rFonts w:ascii="Arial" w:hAnsi="Arial" w:cs="Arial"/>
          <w:lang w:val="es-ES_tradnl"/>
        </w:rPr>
      </w:pPr>
    </w:p>
    <w:p w:rsidR="00A24DF7" w:rsidRPr="0078116A" w:rsidRDefault="00A24DF7" w:rsidP="00A24DF7">
      <w:pPr>
        <w:autoSpaceDE w:val="0"/>
        <w:autoSpaceDN w:val="0"/>
        <w:adjustRightInd w:val="0"/>
        <w:jc w:val="both"/>
        <w:rPr>
          <w:rFonts w:ascii="Arial" w:hAnsi="Arial" w:cs="Arial"/>
          <w:u w:val="single"/>
          <w:lang w:val="es-ES_tradnl"/>
        </w:rPr>
      </w:pPr>
      <w:r w:rsidRPr="0078116A">
        <w:rPr>
          <w:rFonts w:ascii="Arial" w:hAnsi="Arial" w:cs="Arial"/>
          <w:u w:val="single"/>
          <w:lang w:val="es-ES_tradnl"/>
        </w:rPr>
        <w:t xml:space="preserve">Estados Financieros Individuales </w:t>
      </w:r>
    </w:p>
    <w:p w:rsidR="00A24DF7" w:rsidRPr="0078116A" w:rsidRDefault="00A24DF7" w:rsidP="00A24DF7">
      <w:pPr>
        <w:autoSpaceDE w:val="0"/>
        <w:autoSpaceDN w:val="0"/>
        <w:adjustRightInd w:val="0"/>
        <w:jc w:val="both"/>
        <w:rPr>
          <w:rFonts w:ascii="Arial" w:hAnsi="Arial" w:cs="Arial"/>
          <w:lang w:val="es-ES_tradnl"/>
        </w:rPr>
      </w:pPr>
    </w:p>
    <w:p w:rsidR="00A24DF7" w:rsidRPr="0078116A" w:rsidRDefault="00A24DF7" w:rsidP="00A24DF7">
      <w:pPr>
        <w:autoSpaceDE w:val="0"/>
        <w:autoSpaceDN w:val="0"/>
        <w:adjustRightInd w:val="0"/>
        <w:jc w:val="both"/>
        <w:rPr>
          <w:rFonts w:ascii="Arial" w:hAnsi="Arial" w:cs="Arial"/>
          <w:lang w:val="es-ES_tradnl"/>
        </w:rPr>
      </w:pPr>
      <w:r w:rsidRPr="0078116A">
        <w:rPr>
          <w:rFonts w:ascii="Arial" w:hAnsi="Arial" w:cs="Arial"/>
          <w:lang w:val="es-ES_tradnl"/>
        </w:rPr>
        <w:t xml:space="preserve">Los criterios contables aplicados en la elaboración de los estados financieros individuales son los contemplados en el Plan General de Contabilidad en vigor, aprobado mediante el Real Decreto 1514/2007, de 16 de noviembre de 2007 (en adelante “NPGC”). </w:t>
      </w:r>
    </w:p>
    <w:p w:rsidR="00A24DF7" w:rsidRDefault="00A24DF7" w:rsidP="00A24DF7">
      <w:pPr>
        <w:autoSpaceDE w:val="0"/>
        <w:autoSpaceDN w:val="0"/>
        <w:adjustRightInd w:val="0"/>
        <w:jc w:val="both"/>
        <w:rPr>
          <w:rFonts w:ascii="Arial" w:hAnsi="Arial" w:cs="Arial"/>
          <w:lang w:val="es-ES_tradnl"/>
        </w:rPr>
      </w:pPr>
    </w:p>
    <w:p w:rsidR="00A24DF7" w:rsidRPr="0078116A" w:rsidRDefault="00A24DF7" w:rsidP="00A24DF7">
      <w:pPr>
        <w:autoSpaceDE w:val="0"/>
        <w:autoSpaceDN w:val="0"/>
        <w:adjustRightInd w:val="0"/>
        <w:jc w:val="both"/>
        <w:rPr>
          <w:rFonts w:ascii="Arial" w:hAnsi="Arial" w:cs="Arial"/>
          <w:lang w:val="es-ES_tradnl"/>
        </w:rPr>
      </w:pPr>
    </w:p>
    <w:p w:rsidR="00A24DF7" w:rsidRPr="0078116A" w:rsidRDefault="00A24DF7" w:rsidP="00A24DF7">
      <w:pPr>
        <w:numPr>
          <w:ilvl w:val="0"/>
          <w:numId w:val="1"/>
        </w:numPr>
        <w:autoSpaceDE w:val="0"/>
        <w:autoSpaceDN w:val="0"/>
        <w:adjustRightInd w:val="0"/>
        <w:jc w:val="both"/>
        <w:rPr>
          <w:rFonts w:ascii="Arial" w:hAnsi="Arial" w:cs="Arial"/>
          <w:b/>
          <w:bCs/>
          <w:lang w:val="es-ES_tradnl"/>
        </w:rPr>
      </w:pPr>
      <w:r w:rsidRPr="0078116A">
        <w:rPr>
          <w:rFonts w:ascii="Arial" w:hAnsi="Arial" w:cs="Arial"/>
          <w:b/>
          <w:bCs/>
          <w:lang w:val="es-ES_tradnl"/>
        </w:rPr>
        <w:t>Estimaciones y juicios contables</w:t>
      </w:r>
    </w:p>
    <w:p w:rsidR="00A24DF7" w:rsidRPr="0078116A" w:rsidRDefault="00A24DF7" w:rsidP="00A24DF7">
      <w:pPr>
        <w:autoSpaceDE w:val="0"/>
        <w:autoSpaceDN w:val="0"/>
        <w:adjustRightInd w:val="0"/>
        <w:ind w:left="360"/>
        <w:jc w:val="both"/>
        <w:rPr>
          <w:rFonts w:ascii="Arial" w:hAnsi="Arial" w:cs="Arial"/>
          <w:b/>
          <w:bCs/>
          <w:lang w:val="es-ES_tradnl"/>
        </w:rPr>
      </w:pPr>
    </w:p>
    <w:p w:rsidR="00A24DF7" w:rsidRPr="0078116A" w:rsidRDefault="00A24DF7" w:rsidP="00A24DF7">
      <w:pPr>
        <w:autoSpaceDE w:val="0"/>
        <w:autoSpaceDN w:val="0"/>
        <w:adjustRightInd w:val="0"/>
        <w:jc w:val="both"/>
        <w:rPr>
          <w:rFonts w:ascii="Arial" w:hAnsi="Arial" w:cs="Arial"/>
          <w:lang w:val="es-ES_tradnl"/>
        </w:rPr>
      </w:pPr>
      <w:r w:rsidRPr="0078116A">
        <w:rPr>
          <w:rFonts w:ascii="Arial" w:hAnsi="Arial" w:cs="Arial"/>
          <w:lang w:val="es-ES_tradnl"/>
        </w:rPr>
        <w:t xml:space="preserve">Las estimaciones y juicios contables utilizados durante el </w:t>
      </w:r>
      <w:r w:rsidR="00C437D5">
        <w:rPr>
          <w:rFonts w:ascii="Arial" w:hAnsi="Arial" w:cs="Arial"/>
          <w:lang w:val="es-ES_tradnl"/>
        </w:rPr>
        <w:t>periodo de seis meses</w:t>
      </w:r>
      <w:r>
        <w:rPr>
          <w:rFonts w:ascii="Arial" w:hAnsi="Arial" w:cs="Arial"/>
          <w:lang w:val="es-ES_tradnl"/>
        </w:rPr>
        <w:t xml:space="preserve"> terminado el </w:t>
      </w:r>
      <w:r w:rsidR="00C437D5">
        <w:rPr>
          <w:rFonts w:ascii="Arial" w:hAnsi="Arial" w:cs="Arial"/>
          <w:lang w:val="es-ES_tradnl"/>
        </w:rPr>
        <w:t>30 de junio de 2016</w:t>
      </w:r>
      <w:r w:rsidRPr="0078116A">
        <w:rPr>
          <w:rFonts w:ascii="Arial" w:hAnsi="Arial" w:cs="Arial"/>
          <w:lang w:val="es-ES_tradnl"/>
        </w:rPr>
        <w:t xml:space="preserve"> se han aplicado de manera uniforme con respecto a los empleados en la formulación de las Cuentas Anuales Consolidadas de la Sociedad correspondientes al ejercicio 201</w:t>
      </w:r>
      <w:r w:rsidR="00C437D5">
        <w:rPr>
          <w:rFonts w:ascii="Arial" w:hAnsi="Arial" w:cs="Arial"/>
          <w:lang w:val="es-ES_tradnl"/>
        </w:rPr>
        <w:t>5</w:t>
      </w:r>
      <w:r w:rsidRPr="0078116A">
        <w:rPr>
          <w:rFonts w:ascii="Arial" w:hAnsi="Arial" w:cs="Arial"/>
          <w:lang w:val="es-ES_tradnl"/>
        </w:rPr>
        <w:t>, los cuales se detallaron en la memoria de las Cuentas Anuales Consolidadas de la Sociedad de dicho ejercicio.</w:t>
      </w:r>
    </w:p>
    <w:p w:rsidR="00A24DF7" w:rsidRPr="0078116A" w:rsidRDefault="00A24DF7" w:rsidP="00A24DF7">
      <w:pPr>
        <w:autoSpaceDE w:val="0"/>
        <w:autoSpaceDN w:val="0"/>
        <w:adjustRightInd w:val="0"/>
        <w:jc w:val="both"/>
        <w:rPr>
          <w:rFonts w:ascii="Arial" w:hAnsi="Arial" w:cs="Arial"/>
          <w:lang w:val="es-ES_tradnl"/>
        </w:rPr>
      </w:pPr>
    </w:p>
    <w:p w:rsidR="00A24DF7" w:rsidRDefault="00A24DF7" w:rsidP="00A24DF7">
      <w:pPr>
        <w:autoSpaceDE w:val="0"/>
        <w:autoSpaceDN w:val="0"/>
        <w:adjustRightInd w:val="0"/>
        <w:jc w:val="both"/>
        <w:rPr>
          <w:rFonts w:ascii="Arial" w:hAnsi="Arial" w:cs="Arial"/>
          <w:lang w:val="es-ES_tradnl"/>
        </w:rPr>
      </w:pPr>
      <w:r w:rsidRPr="0078116A">
        <w:rPr>
          <w:rFonts w:ascii="Arial" w:hAnsi="Arial" w:cs="Arial"/>
          <w:lang w:val="es-ES_tradnl"/>
        </w:rPr>
        <w:t>Las estimaciones y juicios contables utilizados se han realizado en función de la mejor información disponible sobre los hechos analizados en la fecha de elaboración de los estados financieros intermedios adjuntos, si bien es posible que acontecimientos que pudieran tener lugar en el futuro obliguen a modificarlas en próximos períodos, lo que se haría de forma prospectiva, reconociendo los efectos del cambio de estimación.</w:t>
      </w:r>
    </w:p>
    <w:p w:rsidR="006B6123" w:rsidRDefault="006B6123" w:rsidP="00A24DF7">
      <w:pPr>
        <w:autoSpaceDE w:val="0"/>
        <w:autoSpaceDN w:val="0"/>
        <w:adjustRightInd w:val="0"/>
        <w:jc w:val="both"/>
        <w:rPr>
          <w:rFonts w:ascii="Arial" w:hAnsi="Arial" w:cs="Arial"/>
          <w:lang w:val="es-ES_tradnl"/>
        </w:rPr>
      </w:pPr>
    </w:p>
    <w:p w:rsidR="006B6123" w:rsidRDefault="006B6123" w:rsidP="006B6123">
      <w:pPr>
        <w:autoSpaceDE w:val="0"/>
        <w:autoSpaceDN w:val="0"/>
        <w:adjustRightInd w:val="0"/>
        <w:jc w:val="both"/>
        <w:rPr>
          <w:rFonts w:ascii="Arial" w:hAnsi="Arial" w:cs="Arial"/>
          <w:lang w:val="es-ES_tradnl"/>
        </w:rPr>
      </w:pPr>
      <w:r w:rsidRPr="006B6123">
        <w:rPr>
          <w:rFonts w:ascii="Arial" w:hAnsi="Arial" w:cs="Arial"/>
          <w:lang w:val="es-ES_tradnl"/>
        </w:rPr>
        <w:t xml:space="preserve">Conforme se indica en el Informe de Gestión que acompaña a las Cuentas Anuales Consolidadas del ejercicio 2015, éste fue un año de cambios para Adveo, tras la salida del Consejero Delegado en la primera mitad del ejercicio, </w:t>
      </w:r>
      <w:r w:rsidR="001C5E41">
        <w:rPr>
          <w:rFonts w:ascii="Arial" w:hAnsi="Arial" w:cs="Arial"/>
          <w:lang w:val="es-ES_tradnl"/>
        </w:rPr>
        <w:t xml:space="preserve">y el </w:t>
      </w:r>
      <w:r w:rsidR="001C5E41" w:rsidRPr="006B6123">
        <w:rPr>
          <w:rFonts w:ascii="Arial" w:hAnsi="Arial" w:cs="Arial"/>
          <w:lang w:val="es-ES_tradnl"/>
        </w:rPr>
        <w:t xml:space="preserve">cambio total en la Dirección de Adveo </w:t>
      </w:r>
      <w:r w:rsidRPr="006B6123">
        <w:rPr>
          <w:rFonts w:ascii="Arial" w:hAnsi="Arial" w:cs="Arial"/>
          <w:lang w:val="es-ES_tradnl"/>
        </w:rPr>
        <w:t xml:space="preserve">en el segundo semestre </w:t>
      </w:r>
      <w:r w:rsidR="001C5E41">
        <w:rPr>
          <w:rFonts w:ascii="Arial" w:hAnsi="Arial" w:cs="Arial"/>
          <w:lang w:val="es-ES_tradnl"/>
        </w:rPr>
        <w:t xml:space="preserve">de 2015, </w:t>
      </w:r>
      <w:r w:rsidRPr="006B6123">
        <w:rPr>
          <w:rFonts w:ascii="Arial" w:hAnsi="Arial" w:cs="Arial"/>
          <w:lang w:val="es-ES_tradnl"/>
        </w:rPr>
        <w:t xml:space="preserve">que se inició con la incorporación de Jaime </w:t>
      </w:r>
      <w:proofErr w:type="spellStart"/>
      <w:r w:rsidRPr="006B6123">
        <w:rPr>
          <w:rFonts w:ascii="Arial" w:hAnsi="Arial" w:cs="Arial"/>
          <w:lang w:val="es-ES_tradnl"/>
        </w:rPr>
        <w:t>Carbó</w:t>
      </w:r>
      <w:proofErr w:type="spellEnd"/>
      <w:r w:rsidRPr="006B6123">
        <w:rPr>
          <w:rFonts w:ascii="Arial" w:hAnsi="Arial" w:cs="Arial"/>
          <w:lang w:val="es-ES_tradnl"/>
        </w:rPr>
        <w:t xml:space="preserve"> como Consejero </w:t>
      </w:r>
      <w:r w:rsidR="001C5E41">
        <w:rPr>
          <w:rFonts w:ascii="Arial" w:hAnsi="Arial" w:cs="Arial"/>
          <w:lang w:val="es-ES_tradnl"/>
        </w:rPr>
        <w:lastRenderedPageBreak/>
        <w:t xml:space="preserve">Delegado y que continuó con la </w:t>
      </w:r>
      <w:r w:rsidRPr="006B6123">
        <w:rPr>
          <w:rFonts w:ascii="Arial" w:hAnsi="Arial" w:cs="Arial"/>
          <w:lang w:val="es-ES_tradnl"/>
        </w:rPr>
        <w:t>sustitución de los principales puestos directivos tanto a nivel corporativo como en Iberia, así como con un refuerzo de los equipos directivos del resto de los países.</w:t>
      </w:r>
    </w:p>
    <w:p w:rsidR="006B6123" w:rsidRPr="006B6123" w:rsidRDefault="006B6123" w:rsidP="006B6123">
      <w:pPr>
        <w:autoSpaceDE w:val="0"/>
        <w:autoSpaceDN w:val="0"/>
        <w:adjustRightInd w:val="0"/>
        <w:jc w:val="both"/>
        <w:rPr>
          <w:rFonts w:ascii="Arial" w:hAnsi="Arial" w:cs="Arial"/>
          <w:lang w:val="es-ES_tradnl"/>
        </w:rPr>
      </w:pPr>
    </w:p>
    <w:p w:rsidR="006B6123" w:rsidRPr="006B6123" w:rsidRDefault="006B6123" w:rsidP="006B6123">
      <w:pPr>
        <w:autoSpaceDE w:val="0"/>
        <w:autoSpaceDN w:val="0"/>
        <w:adjustRightInd w:val="0"/>
        <w:jc w:val="both"/>
        <w:rPr>
          <w:rFonts w:ascii="Arial" w:hAnsi="Arial" w:cs="Arial"/>
          <w:lang w:val="es-ES_tradnl"/>
        </w:rPr>
      </w:pPr>
      <w:r w:rsidRPr="006B6123">
        <w:rPr>
          <w:rFonts w:ascii="Arial" w:hAnsi="Arial" w:cs="Arial"/>
          <w:lang w:val="es-ES_tradnl"/>
        </w:rPr>
        <w:t xml:space="preserve">Con un claro objetivo de transparencia y adaptación a las mejores prácticas, el nuevo equipo directivo, encabezado por Jaime </w:t>
      </w:r>
      <w:proofErr w:type="spellStart"/>
      <w:r w:rsidRPr="006B6123">
        <w:rPr>
          <w:rFonts w:ascii="Arial" w:hAnsi="Arial" w:cs="Arial"/>
          <w:lang w:val="es-ES_tradnl"/>
        </w:rPr>
        <w:t>Carbó</w:t>
      </w:r>
      <w:proofErr w:type="spellEnd"/>
      <w:r w:rsidRPr="006B6123">
        <w:rPr>
          <w:rFonts w:ascii="Arial" w:hAnsi="Arial" w:cs="Arial"/>
          <w:lang w:val="es-ES_tradnl"/>
        </w:rPr>
        <w:t xml:space="preserve">, incrementó el control sobre ciertas políticas internas y realizó un saneamiento extraordinario de 59 millones, al cierre del ejercicio 2015, provenientes </w:t>
      </w:r>
      <w:r w:rsidR="001C5E41">
        <w:rPr>
          <w:rFonts w:ascii="Arial" w:hAnsi="Arial" w:cs="Arial"/>
          <w:lang w:val="es-ES_tradnl"/>
        </w:rPr>
        <w:t xml:space="preserve">del </w:t>
      </w:r>
      <w:r w:rsidRPr="006B6123">
        <w:rPr>
          <w:rFonts w:ascii="Arial" w:hAnsi="Arial" w:cs="Arial"/>
          <w:lang w:val="es-ES_tradnl"/>
        </w:rPr>
        <w:t>ERE anunciado en España, la reducción del valor de la plataforma tecnológica, la disminución del valor de parte del stock, una política más estricta de rotación de productos y la regularización de cuentas comerciales.</w:t>
      </w:r>
    </w:p>
    <w:p w:rsidR="006B6123" w:rsidRDefault="006B6123" w:rsidP="006B6123">
      <w:pPr>
        <w:autoSpaceDE w:val="0"/>
        <w:autoSpaceDN w:val="0"/>
        <w:adjustRightInd w:val="0"/>
        <w:jc w:val="both"/>
        <w:rPr>
          <w:rFonts w:ascii="Arial" w:hAnsi="Arial" w:cs="Arial"/>
          <w:lang w:val="es-ES_tradnl"/>
        </w:rPr>
      </w:pPr>
    </w:p>
    <w:p w:rsidR="001C5E41" w:rsidRDefault="006B6123" w:rsidP="006B6123">
      <w:pPr>
        <w:autoSpaceDE w:val="0"/>
        <w:autoSpaceDN w:val="0"/>
        <w:adjustRightInd w:val="0"/>
        <w:jc w:val="both"/>
        <w:rPr>
          <w:rFonts w:ascii="Arial" w:hAnsi="Arial" w:cs="Arial"/>
          <w:lang w:val="es-ES_tradnl"/>
        </w:rPr>
      </w:pPr>
      <w:r w:rsidRPr="006B6123">
        <w:rPr>
          <w:rFonts w:ascii="Arial" w:hAnsi="Arial" w:cs="Arial"/>
          <w:lang w:val="es-ES_tradnl"/>
        </w:rPr>
        <w:t xml:space="preserve">Estos saneamientos, que se registraron íntegramente al cierre del ejercicio 2015, </w:t>
      </w:r>
      <w:r w:rsidR="001C5E41">
        <w:rPr>
          <w:rFonts w:ascii="Arial" w:hAnsi="Arial" w:cs="Arial"/>
          <w:lang w:val="es-ES_tradnl"/>
        </w:rPr>
        <w:t>no habían sido reconocidos al cierre del primer semestre de 2015, en el que determinadas políticas de reconocimiento de ingresos, y la capitalización en curso de la plataforma tecnológica en construcción, provocaban un incremento del EBITDA interanual, que posteriormente fue revertido al cierre del ejercicio 2015.</w:t>
      </w:r>
    </w:p>
    <w:p w:rsidR="001C5E41" w:rsidRDefault="001C5E41" w:rsidP="006B6123">
      <w:pPr>
        <w:autoSpaceDE w:val="0"/>
        <w:autoSpaceDN w:val="0"/>
        <w:adjustRightInd w:val="0"/>
        <w:jc w:val="both"/>
        <w:rPr>
          <w:rFonts w:ascii="Arial" w:hAnsi="Arial" w:cs="Arial"/>
          <w:lang w:val="es-ES_tradnl"/>
        </w:rPr>
      </w:pPr>
    </w:p>
    <w:p w:rsidR="006B6123" w:rsidRPr="006B6123" w:rsidRDefault="001C5E41" w:rsidP="006B6123">
      <w:pPr>
        <w:autoSpaceDE w:val="0"/>
        <w:autoSpaceDN w:val="0"/>
        <w:adjustRightInd w:val="0"/>
        <w:jc w:val="both"/>
        <w:rPr>
          <w:rFonts w:ascii="Arial" w:hAnsi="Arial" w:cs="Arial"/>
          <w:lang w:val="es-ES_tradnl"/>
        </w:rPr>
      </w:pPr>
      <w:r>
        <w:rPr>
          <w:rFonts w:ascii="Arial" w:hAnsi="Arial" w:cs="Arial"/>
          <w:lang w:val="es-ES_tradnl"/>
        </w:rPr>
        <w:t>Estos factores deben ser tomados en cuenta</w:t>
      </w:r>
      <w:r w:rsidR="006B6123" w:rsidRPr="006B6123">
        <w:rPr>
          <w:rFonts w:ascii="Arial" w:hAnsi="Arial" w:cs="Arial"/>
          <w:lang w:val="es-ES_tradnl"/>
        </w:rPr>
        <w:t xml:space="preserve"> </w:t>
      </w:r>
      <w:r>
        <w:rPr>
          <w:rFonts w:ascii="Arial" w:hAnsi="Arial" w:cs="Arial"/>
          <w:lang w:val="es-ES_tradnl"/>
        </w:rPr>
        <w:t>al objeto</w:t>
      </w:r>
      <w:r w:rsidR="006B6123" w:rsidRPr="006B6123">
        <w:rPr>
          <w:rFonts w:ascii="Arial" w:hAnsi="Arial" w:cs="Arial"/>
          <w:lang w:val="es-ES_tradnl"/>
        </w:rPr>
        <w:t xml:space="preserve"> de poder realizar un análisis de la evolución y resultados de la compañía en el 2016 respecto al 2015 con cifras comparables.</w:t>
      </w:r>
    </w:p>
    <w:p w:rsidR="00C437D5" w:rsidRDefault="00C437D5" w:rsidP="00A24DF7">
      <w:pPr>
        <w:autoSpaceDE w:val="0"/>
        <w:autoSpaceDN w:val="0"/>
        <w:adjustRightInd w:val="0"/>
        <w:jc w:val="both"/>
        <w:rPr>
          <w:rFonts w:ascii="Arial" w:hAnsi="Arial" w:cs="Arial"/>
          <w:lang w:val="es-ES_tradnl"/>
        </w:rPr>
      </w:pPr>
    </w:p>
    <w:p w:rsidR="00A24DF7" w:rsidRPr="0078116A" w:rsidRDefault="00A24DF7" w:rsidP="00A24DF7">
      <w:pPr>
        <w:autoSpaceDE w:val="0"/>
        <w:autoSpaceDN w:val="0"/>
        <w:adjustRightInd w:val="0"/>
        <w:jc w:val="both"/>
        <w:rPr>
          <w:rFonts w:ascii="Arial" w:hAnsi="Arial" w:cs="Arial"/>
          <w:lang w:val="es-ES_tradnl"/>
        </w:rPr>
      </w:pPr>
    </w:p>
    <w:p w:rsidR="00A24DF7" w:rsidRDefault="00A24DF7" w:rsidP="00A24DF7">
      <w:pPr>
        <w:numPr>
          <w:ilvl w:val="0"/>
          <w:numId w:val="1"/>
        </w:numPr>
        <w:autoSpaceDE w:val="0"/>
        <w:autoSpaceDN w:val="0"/>
        <w:adjustRightInd w:val="0"/>
        <w:jc w:val="both"/>
        <w:rPr>
          <w:rFonts w:ascii="Arial" w:hAnsi="Arial" w:cs="Arial"/>
          <w:b/>
          <w:bCs/>
          <w:lang w:val="es-ES_tradnl"/>
        </w:rPr>
      </w:pPr>
      <w:r w:rsidRPr="0078116A">
        <w:rPr>
          <w:rFonts w:ascii="Arial" w:hAnsi="Arial" w:cs="Arial"/>
          <w:b/>
          <w:bCs/>
          <w:lang w:val="es-ES_tradnl"/>
        </w:rPr>
        <w:t>Variaciones en el perímetro de consolidación</w:t>
      </w:r>
    </w:p>
    <w:p w:rsidR="00A24DF7" w:rsidRDefault="00A24DF7" w:rsidP="00A24DF7">
      <w:pPr>
        <w:autoSpaceDE w:val="0"/>
        <w:autoSpaceDN w:val="0"/>
        <w:adjustRightInd w:val="0"/>
        <w:jc w:val="both"/>
        <w:rPr>
          <w:rFonts w:ascii="Arial" w:hAnsi="Arial" w:cs="Arial"/>
          <w:bCs/>
          <w:lang w:val="es-ES_tradnl"/>
        </w:rPr>
      </w:pPr>
    </w:p>
    <w:p w:rsidR="00A24DF7" w:rsidRDefault="00C437D5" w:rsidP="00A24DF7">
      <w:pPr>
        <w:autoSpaceDE w:val="0"/>
        <w:autoSpaceDN w:val="0"/>
        <w:adjustRightInd w:val="0"/>
        <w:jc w:val="both"/>
        <w:rPr>
          <w:rFonts w:ascii="Arial" w:hAnsi="Arial" w:cs="Arial"/>
          <w:lang w:val="es-ES_tradnl"/>
        </w:rPr>
      </w:pPr>
      <w:r>
        <w:rPr>
          <w:rFonts w:ascii="Arial" w:hAnsi="Arial" w:cs="Arial"/>
          <w:lang w:val="es-ES_tradnl"/>
        </w:rPr>
        <w:t>Durante el ejercicio 2016</w:t>
      </w:r>
      <w:r w:rsidR="00A24DF7">
        <w:rPr>
          <w:rFonts w:ascii="Arial" w:hAnsi="Arial" w:cs="Arial"/>
          <w:lang w:val="es-ES_tradnl"/>
        </w:rPr>
        <w:t xml:space="preserve"> </w:t>
      </w:r>
      <w:r>
        <w:rPr>
          <w:rFonts w:ascii="Arial" w:hAnsi="Arial" w:cs="Arial"/>
          <w:lang w:val="es-ES_tradnl"/>
        </w:rPr>
        <w:t>se ha</w:t>
      </w:r>
      <w:r w:rsidR="00A24DF7">
        <w:rPr>
          <w:rFonts w:ascii="Arial" w:hAnsi="Arial" w:cs="Arial"/>
          <w:lang w:val="es-ES_tradnl"/>
        </w:rPr>
        <w:t xml:space="preserve"> producido </w:t>
      </w:r>
      <w:r>
        <w:rPr>
          <w:rFonts w:ascii="Arial" w:hAnsi="Arial" w:cs="Arial"/>
          <w:lang w:val="es-ES_tradnl"/>
        </w:rPr>
        <w:t>un cambio</w:t>
      </w:r>
      <w:r w:rsidR="00A24DF7">
        <w:rPr>
          <w:rFonts w:ascii="Arial" w:hAnsi="Arial" w:cs="Arial"/>
          <w:lang w:val="es-ES_tradnl"/>
        </w:rPr>
        <w:t xml:space="preserve"> en el perímetro d</w:t>
      </w:r>
      <w:r>
        <w:rPr>
          <w:rFonts w:ascii="Arial" w:hAnsi="Arial" w:cs="Arial"/>
          <w:lang w:val="es-ES_tradnl"/>
        </w:rPr>
        <w:t>e consolidación del Grupo Adveo, al venderse la participación (93,5%) que Adveo España, S.A. ostentaba sobre UNIPAPER ANDORRA, S.A.</w:t>
      </w:r>
    </w:p>
    <w:p w:rsidR="00C437D5" w:rsidRDefault="00C437D5" w:rsidP="00A24DF7">
      <w:pPr>
        <w:autoSpaceDE w:val="0"/>
        <w:autoSpaceDN w:val="0"/>
        <w:adjustRightInd w:val="0"/>
        <w:jc w:val="both"/>
        <w:rPr>
          <w:rFonts w:ascii="Arial" w:hAnsi="Arial" w:cs="Arial"/>
          <w:lang w:val="es-ES_tradnl"/>
        </w:rPr>
      </w:pPr>
    </w:p>
    <w:p w:rsidR="00C437D5" w:rsidRDefault="00C437D5" w:rsidP="00A24DF7">
      <w:pPr>
        <w:autoSpaceDE w:val="0"/>
        <w:autoSpaceDN w:val="0"/>
        <w:adjustRightInd w:val="0"/>
        <w:jc w:val="both"/>
        <w:rPr>
          <w:rFonts w:ascii="Arial" w:hAnsi="Arial" w:cs="Arial"/>
          <w:lang w:val="es-ES_tradnl"/>
        </w:rPr>
      </w:pPr>
      <w:r>
        <w:rPr>
          <w:rFonts w:ascii="Arial" w:hAnsi="Arial" w:cs="Arial"/>
          <w:lang w:val="es-ES_tradnl"/>
        </w:rPr>
        <w:t>El valor de la venta de las acciones ha sido de 1 euro. Dado que el valor de la participación en esta sociedad estaba totalmente provisionado al cierre del ejercicio 2015, la materialización de la venta y la baja del perímetro de consolidación no ha tenido ningún impacto ni en los resultados consolidados ni en el patrimonio neto consolidado del Grupo Adveo en el ejercicio 2016.</w:t>
      </w:r>
    </w:p>
    <w:p w:rsidR="00A24DF7" w:rsidRDefault="00A24DF7" w:rsidP="00A24DF7">
      <w:pPr>
        <w:autoSpaceDE w:val="0"/>
        <w:autoSpaceDN w:val="0"/>
        <w:adjustRightInd w:val="0"/>
        <w:jc w:val="both"/>
        <w:rPr>
          <w:rFonts w:ascii="Arial" w:hAnsi="Arial" w:cs="Arial"/>
          <w:bCs/>
          <w:lang w:val="es-ES_tradnl"/>
        </w:rPr>
      </w:pPr>
    </w:p>
    <w:p w:rsidR="00A24DF7" w:rsidRPr="00D30CC0" w:rsidRDefault="00A24DF7" w:rsidP="00A24DF7">
      <w:pPr>
        <w:autoSpaceDE w:val="0"/>
        <w:autoSpaceDN w:val="0"/>
        <w:adjustRightInd w:val="0"/>
        <w:jc w:val="both"/>
        <w:rPr>
          <w:rFonts w:ascii="Arial" w:hAnsi="Arial" w:cs="Arial"/>
          <w:bCs/>
          <w:lang w:val="es-ES_tradnl"/>
        </w:rPr>
      </w:pPr>
    </w:p>
    <w:p w:rsidR="00A24DF7" w:rsidRPr="0078116A" w:rsidRDefault="00A24DF7" w:rsidP="00A24DF7">
      <w:pPr>
        <w:numPr>
          <w:ilvl w:val="0"/>
          <w:numId w:val="1"/>
        </w:numPr>
        <w:autoSpaceDE w:val="0"/>
        <w:autoSpaceDN w:val="0"/>
        <w:adjustRightInd w:val="0"/>
        <w:jc w:val="both"/>
        <w:rPr>
          <w:rFonts w:ascii="Arial" w:hAnsi="Arial" w:cs="Arial"/>
          <w:b/>
          <w:bCs/>
          <w:lang w:val="es-ES_tradnl"/>
        </w:rPr>
      </w:pPr>
      <w:r w:rsidRPr="0078116A">
        <w:rPr>
          <w:rFonts w:ascii="Arial" w:hAnsi="Arial" w:cs="Arial"/>
          <w:b/>
          <w:bCs/>
          <w:lang w:val="es-ES_tradnl"/>
        </w:rPr>
        <w:t>Comentarios acerca de la estacionalidad o carácter cíclico de las transacciones</w:t>
      </w:r>
      <w:r>
        <w:rPr>
          <w:rFonts w:ascii="Arial" w:hAnsi="Arial" w:cs="Arial"/>
          <w:b/>
          <w:bCs/>
          <w:lang w:val="es-ES_tradnl"/>
        </w:rPr>
        <w:t xml:space="preserve"> y comentarios analíticos sobre los resultados del ejercicio.</w:t>
      </w:r>
    </w:p>
    <w:p w:rsidR="00A24DF7" w:rsidRPr="0078116A" w:rsidRDefault="00A24DF7" w:rsidP="00A24DF7">
      <w:pPr>
        <w:autoSpaceDE w:val="0"/>
        <w:autoSpaceDN w:val="0"/>
        <w:adjustRightInd w:val="0"/>
        <w:ind w:left="360"/>
        <w:jc w:val="both"/>
        <w:rPr>
          <w:rFonts w:ascii="Arial" w:hAnsi="Arial" w:cs="Arial"/>
          <w:b/>
          <w:bCs/>
          <w:lang w:val="es-ES_tradnl"/>
        </w:rPr>
      </w:pPr>
    </w:p>
    <w:p w:rsidR="00C204C2" w:rsidRDefault="00A24DF7" w:rsidP="00A24DF7">
      <w:pPr>
        <w:autoSpaceDE w:val="0"/>
        <w:autoSpaceDN w:val="0"/>
        <w:adjustRightInd w:val="0"/>
        <w:jc w:val="both"/>
        <w:rPr>
          <w:rFonts w:ascii="Arial" w:hAnsi="Arial" w:cs="Arial"/>
          <w:lang w:val="es-ES_tradnl"/>
        </w:rPr>
      </w:pPr>
      <w:r>
        <w:rPr>
          <w:rFonts w:ascii="Arial" w:hAnsi="Arial" w:cs="Arial"/>
          <w:lang w:val="es-ES_tradnl"/>
        </w:rPr>
        <w:t xml:space="preserve">La </w:t>
      </w:r>
      <w:r w:rsidRPr="004718A0">
        <w:rPr>
          <w:rFonts w:ascii="Arial" w:hAnsi="Arial" w:cs="Arial"/>
          <w:lang w:val="es-ES_tradnl"/>
        </w:rPr>
        <w:t xml:space="preserve">cifra de negocio </w:t>
      </w:r>
      <w:r>
        <w:rPr>
          <w:rFonts w:ascii="Arial" w:hAnsi="Arial" w:cs="Arial"/>
          <w:lang w:val="es-ES_tradnl"/>
        </w:rPr>
        <w:t xml:space="preserve">y el resultado del ejercicio no presentan una estacionalidad definida, si bien en </w:t>
      </w:r>
      <w:r w:rsidRPr="004718A0">
        <w:rPr>
          <w:rFonts w:ascii="Arial" w:hAnsi="Arial" w:cs="Arial"/>
          <w:lang w:val="es-ES_tradnl"/>
        </w:rPr>
        <w:t>el ejercicio 201</w:t>
      </w:r>
      <w:r w:rsidR="00C437D5">
        <w:rPr>
          <w:rFonts w:ascii="Arial" w:hAnsi="Arial" w:cs="Arial"/>
          <w:lang w:val="es-ES_tradnl"/>
        </w:rPr>
        <w:t xml:space="preserve">6 </w:t>
      </w:r>
      <w:r>
        <w:rPr>
          <w:rFonts w:ascii="Arial" w:hAnsi="Arial" w:cs="Arial"/>
          <w:lang w:val="es-ES_tradnl"/>
        </w:rPr>
        <w:t xml:space="preserve">se observa una </w:t>
      </w:r>
      <w:r w:rsidR="00C437D5">
        <w:rPr>
          <w:rFonts w:ascii="Arial" w:hAnsi="Arial" w:cs="Arial"/>
          <w:lang w:val="es-ES_tradnl"/>
        </w:rPr>
        <w:t>menor</w:t>
      </w:r>
      <w:r>
        <w:rPr>
          <w:rFonts w:ascii="Arial" w:hAnsi="Arial" w:cs="Arial"/>
          <w:lang w:val="es-ES_tradnl"/>
        </w:rPr>
        <w:t xml:space="preserve"> cifra de negocio y </w:t>
      </w:r>
      <w:r w:rsidR="00C437D5">
        <w:rPr>
          <w:rFonts w:ascii="Arial" w:hAnsi="Arial" w:cs="Arial"/>
          <w:lang w:val="es-ES_tradnl"/>
        </w:rPr>
        <w:t xml:space="preserve">una peor </w:t>
      </w:r>
      <w:r>
        <w:rPr>
          <w:rFonts w:ascii="Arial" w:hAnsi="Arial" w:cs="Arial"/>
          <w:lang w:val="es-ES_tradnl"/>
        </w:rPr>
        <w:t>generación de</w:t>
      </w:r>
      <w:r w:rsidR="00C437D5">
        <w:rPr>
          <w:rFonts w:ascii="Arial" w:hAnsi="Arial" w:cs="Arial"/>
          <w:lang w:val="es-ES_tradnl"/>
        </w:rPr>
        <w:t>l</w:t>
      </w:r>
      <w:r>
        <w:rPr>
          <w:rFonts w:ascii="Arial" w:hAnsi="Arial" w:cs="Arial"/>
          <w:lang w:val="es-ES_tradnl"/>
        </w:rPr>
        <w:t xml:space="preserve"> resultado</w:t>
      </w:r>
      <w:r w:rsidR="00C437D5">
        <w:rPr>
          <w:rFonts w:ascii="Arial" w:hAnsi="Arial" w:cs="Arial"/>
          <w:lang w:val="es-ES_tradnl"/>
        </w:rPr>
        <w:t xml:space="preserve"> de explotación</w:t>
      </w:r>
      <w:r>
        <w:rPr>
          <w:rFonts w:ascii="Arial" w:hAnsi="Arial" w:cs="Arial"/>
          <w:lang w:val="es-ES_tradnl"/>
        </w:rPr>
        <w:t xml:space="preserve"> en el primer semestre</w:t>
      </w:r>
      <w:r w:rsidRPr="004718A0">
        <w:rPr>
          <w:rFonts w:ascii="Arial" w:hAnsi="Arial" w:cs="Arial"/>
          <w:lang w:val="es-ES_tradnl"/>
        </w:rPr>
        <w:t>, fundamentalmente por la desaceleración del negocio en España, derivada de la contracción del mercado de productos digitales</w:t>
      </w:r>
      <w:r w:rsidR="00C437D5">
        <w:rPr>
          <w:rFonts w:ascii="Arial" w:hAnsi="Arial" w:cs="Arial"/>
          <w:lang w:val="es-ES_tradnl"/>
        </w:rPr>
        <w:t xml:space="preserve"> y el cambio en el posicionamiento del Grupo en el negocio digital</w:t>
      </w:r>
      <w:r w:rsidRPr="004718A0">
        <w:rPr>
          <w:rFonts w:ascii="Arial" w:hAnsi="Arial" w:cs="Arial"/>
          <w:lang w:val="es-ES_tradnl"/>
        </w:rPr>
        <w:t xml:space="preserve">, en torno a un 20%, y afectada por el proyecto de transformación acometido en España (reingeniería de procesos, nueva plataforma tecnológica, cambios en </w:t>
      </w:r>
      <w:r w:rsidRPr="004718A0">
        <w:rPr>
          <w:rFonts w:ascii="Arial" w:hAnsi="Arial" w:cs="Arial"/>
          <w:lang w:val="es-ES_tradnl"/>
        </w:rPr>
        <w:lastRenderedPageBreak/>
        <w:t>estructuras logísticas). Todo ello justifica un desc</w:t>
      </w:r>
      <w:r w:rsidR="00C437D5">
        <w:rPr>
          <w:rFonts w:ascii="Arial" w:hAnsi="Arial" w:cs="Arial"/>
          <w:lang w:val="es-ES_tradnl"/>
        </w:rPr>
        <w:t>enso de volumen de negocio de -17</w:t>
      </w:r>
      <w:r w:rsidRPr="004718A0">
        <w:rPr>
          <w:rFonts w:ascii="Arial" w:hAnsi="Arial" w:cs="Arial"/>
          <w:lang w:val="es-ES_tradnl"/>
        </w:rPr>
        <w:t xml:space="preserve">% en España respecto al </w:t>
      </w:r>
      <w:r w:rsidR="00C437D5">
        <w:rPr>
          <w:rFonts w:ascii="Arial" w:hAnsi="Arial" w:cs="Arial"/>
          <w:lang w:val="es-ES_tradnl"/>
        </w:rPr>
        <w:t>ejercicio 2015</w:t>
      </w:r>
      <w:r w:rsidR="00326116">
        <w:rPr>
          <w:rFonts w:ascii="Arial" w:hAnsi="Arial" w:cs="Arial"/>
          <w:lang w:val="es-ES_tradnl"/>
        </w:rPr>
        <w:t>.</w:t>
      </w:r>
    </w:p>
    <w:p w:rsidR="001C5E41" w:rsidRDefault="001C5E41" w:rsidP="00A24DF7">
      <w:pPr>
        <w:autoSpaceDE w:val="0"/>
        <w:autoSpaceDN w:val="0"/>
        <w:adjustRightInd w:val="0"/>
        <w:jc w:val="both"/>
        <w:rPr>
          <w:rFonts w:ascii="Arial" w:hAnsi="Arial" w:cs="Arial"/>
          <w:lang w:val="es-ES_tradnl"/>
        </w:rPr>
      </w:pPr>
    </w:p>
    <w:p w:rsidR="00326116" w:rsidRDefault="00C204C2" w:rsidP="00C204C2">
      <w:pPr>
        <w:autoSpaceDE w:val="0"/>
        <w:autoSpaceDN w:val="0"/>
        <w:adjustRightInd w:val="0"/>
        <w:jc w:val="both"/>
        <w:rPr>
          <w:rFonts w:ascii="Arial" w:hAnsi="Arial" w:cs="Arial"/>
          <w:lang w:val="es-ES_tradnl"/>
        </w:rPr>
      </w:pPr>
      <w:r>
        <w:rPr>
          <w:rFonts w:ascii="Arial" w:hAnsi="Arial" w:cs="Arial"/>
          <w:lang w:val="es-ES_tradnl"/>
        </w:rPr>
        <w:t>Para hacer comparativa la cuenta de pérdidas y ganancias consolidada del primer semestre de 2016, frente al ejercicio 2015 hay que tener en cuenta</w:t>
      </w:r>
      <w:r w:rsidR="001C5E41">
        <w:rPr>
          <w:rFonts w:ascii="Arial" w:hAnsi="Arial" w:cs="Arial"/>
          <w:lang w:val="es-ES_tradnl"/>
        </w:rPr>
        <w:t xml:space="preserve"> que</w:t>
      </w:r>
      <w:r>
        <w:rPr>
          <w:rFonts w:ascii="Arial" w:hAnsi="Arial" w:cs="Arial"/>
          <w:lang w:val="es-ES_tradnl"/>
        </w:rPr>
        <w:t xml:space="preserve"> </w:t>
      </w:r>
      <w:r w:rsidR="00326116">
        <w:rPr>
          <w:rFonts w:ascii="Arial" w:hAnsi="Arial" w:cs="Arial"/>
          <w:lang w:val="es-ES_tradnl"/>
        </w:rPr>
        <w:t>los saneamientos extraordinarios registrados al cierre del ejercicio anterior, descritos en la Nota 2 anterio</w:t>
      </w:r>
      <w:r w:rsidR="001C5E41">
        <w:rPr>
          <w:rFonts w:ascii="Arial" w:hAnsi="Arial" w:cs="Arial"/>
          <w:lang w:val="es-ES_tradnl"/>
        </w:rPr>
        <w:t>r, no se habían considerado a 30 de junio de 2016, y considerar que la cuenta de resultados consolidada del ejercicio 2016 incluye una pérdida extraordinaria por el deterioro de las posiciones comerciales y financieras con UNIPAPEL, S.L. por importe de 15,6 millones de euros</w:t>
      </w:r>
      <w:r w:rsidR="000A4326">
        <w:rPr>
          <w:rFonts w:ascii="Arial" w:hAnsi="Arial" w:cs="Arial"/>
          <w:lang w:val="es-ES_tradnl"/>
        </w:rPr>
        <w:t>.</w:t>
      </w:r>
    </w:p>
    <w:p w:rsidR="00326116" w:rsidRDefault="00326116" w:rsidP="00C204C2">
      <w:pPr>
        <w:autoSpaceDE w:val="0"/>
        <w:autoSpaceDN w:val="0"/>
        <w:adjustRightInd w:val="0"/>
        <w:jc w:val="both"/>
        <w:rPr>
          <w:rFonts w:ascii="Arial" w:hAnsi="Arial" w:cs="Arial"/>
          <w:lang w:val="es-ES_tradnl"/>
        </w:rPr>
      </w:pPr>
    </w:p>
    <w:p w:rsidR="001C5E41" w:rsidRDefault="001C5E41" w:rsidP="00C204C2">
      <w:pPr>
        <w:autoSpaceDE w:val="0"/>
        <w:autoSpaceDN w:val="0"/>
        <w:adjustRightInd w:val="0"/>
        <w:jc w:val="both"/>
        <w:rPr>
          <w:rFonts w:ascii="Arial" w:hAnsi="Arial" w:cs="Arial"/>
          <w:lang w:val="es-ES_tradnl"/>
        </w:rPr>
      </w:pPr>
      <w:r>
        <w:rPr>
          <w:rFonts w:ascii="Arial" w:hAnsi="Arial" w:cs="Arial"/>
          <w:lang w:val="es-ES_tradnl"/>
        </w:rPr>
        <w:t xml:space="preserve">Discriminando este efecto, y </w:t>
      </w:r>
      <w:proofErr w:type="spellStart"/>
      <w:r>
        <w:rPr>
          <w:rFonts w:ascii="Arial" w:hAnsi="Arial" w:cs="Arial"/>
          <w:lang w:val="es-ES_tradnl"/>
        </w:rPr>
        <w:t>proformando</w:t>
      </w:r>
      <w:proofErr w:type="spellEnd"/>
      <w:r>
        <w:rPr>
          <w:rFonts w:ascii="Arial" w:hAnsi="Arial" w:cs="Arial"/>
          <w:lang w:val="es-ES_tradnl"/>
        </w:rPr>
        <w:t xml:space="preserve"> el ingreso de 1 millón de euros derivado d</w:t>
      </w:r>
      <w:r w:rsidR="008C1207">
        <w:rPr>
          <w:rFonts w:ascii="Arial" w:hAnsi="Arial" w:cs="Arial"/>
          <w:lang w:val="es-ES_tradnl"/>
        </w:rPr>
        <w:t>e la venta de la marca ADIMPO, la cuenta de resultados consolidad proforma del ejercicio 2016 sería la siguiente:</w:t>
      </w:r>
    </w:p>
    <w:p w:rsidR="00A82E09" w:rsidRDefault="00A82E09" w:rsidP="00C204C2">
      <w:pPr>
        <w:autoSpaceDE w:val="0"/>
        <w:autoSpaceDN w:val="0"/>
        <w:adjustRightInd w:val="0"/>
        <w:jc w:val="both"/>
        <w:rPr>
          <w:rFonts w:ascii="Arial" w:hAnsi="Arial" w:cs="Arial"/>
          <w:lang w:val="es-ES_tradnl"/>
        </w:rPr>
      </w:pPr>
    </w:p>
    <w:p w:rsidR="00A82E09" w:rsidRDefault="00A82E09" w:rsidP="00C204C2">
      <w:pPr>
        <w:autoSpaceDE w:val="0"/>
        <w:autoSpaceDN w:val="0"/>
        <w:adjustRightInd w:val="0"/>
        <w:jc w:val="both"/>
        <w:rPr>
          <w:rFonts w:ascii="Arial" w:hAnsi="Arial" w:cs="Arial"/>
          <w:lang w:val="es-ES_tradnl"/>
        </w:rPr>
      </w:pPr>
      <w:r w:rsidRPr="00A82E09">
        <w:drawing>
          <wp:inline distT="0" distB="0" distL="0" distR="0" wp14:anchorId="16490528" wp14:editId="0A579166">
            <wp:extent cx="5278755" cy="3899849"/>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8755" cy="3899849"/>
                    </a:xfrm>
                    <a:prstGeom prst="rect">
                      <a:avLst/>
                    </a:prstGeom>
                    <a:noFill/>
                    <a:ln>
                      <a:noFill/>
                    </a:ln>
                  </pic:spPr>
                </pic:pic>
              </a:graphicData>
            </a:graphic>
          </wp:inline>
        </w:drawing>
      </w:r>
    </w:p>
    <w:p w:rsidR="001C5E41" w:rsidRDefault="001C5E41" w:rsidP="00C204C2">
      <w:pPr>
        <w:autoSpaceDE w:val="0"/>
        <w:autoSpaceDN w:val="0"/>
        <w:adjustRightInd w:val="0"/>
        <w:jc w:val="both"/>
        <w:rPr>
          <w:rFonts w:ascii="Arial" w:hAnsi="Arial" w:cs="Arial"/>
          <w:lang w:val="es-ES_tradnl"/>
        </w:rPr>
      </w:pPr>
    </w:p>
    <w:p w:rsidR="008C1207" w:rsidRDefault="008C1207" w:rsidP="00FE2EF0">
      <w:pPr>
        <w:autoSpaceDE w:val="0"/>
        <w:autoSpaceDN w:val="0"/>
        <w:adjustRightInd w:val="0"/>
        <w:jc w:val="both"/>
        <w:rPr>
          <w:rFonts w:ascii="Arial" w:hAnsi="Arial" w:cs="Arial"/>
          <w:lang w:val="es-ES_tradnl"/>
        </w:rPr>
      </w:pPr>
      <w:r>
        <w:rPr>
          <w:rFonts w:ascii="Arial" w:hAnsi="Arial" w:cs="Arial"/>
          <w:lang w:val="es-ES_tradnl"/>
        </w:rPr>
        <w:t>Donde el resultado antes de impuestos, sin considerar extraordinarios, ascendería a 0,5 millones de euros, frente a las perdidas consolidadas de 0,8 millones del ejercicio anterior.</w:t>
      </w:r>
    </w:p>
    <w:p w:rsidR="008C1207" w:rsidRDefault="008C1207" w:rsidP="00FE2EF0">
      <w:pPr>
        <w:autoSpaceDE w:val="0"/>
        <w:autoSpaceDN w:val="0"/>
        <w:adjustRightInd w:val="0"/>
        <w:jc w:val="both"/>
        <w:rPr>
          <w:rFonts w:ascii="Arial" w:hAnsi="Arial" w:cs="Arial"/>
          <w:lang w:val="es-ES_tradnl"/>
        </w:rPr>
      </w:pPr>
    </w:p>
    <w:p w:rsidR="008C1207" w:rsidRDefault="00FE2EF0" w:rsidP="00FE2EF0">
      <w:pPr>
        <w:autoSpaceDE w:val="0"/>
        <w:autoSpaceDN w:val="0"/>
        <w:adjustRightInd w:val="0"/>
        <w:jc w:val="both"/>
        <w:rPr>
          <w:rFonts w:ascii="Arial" w:hAnsi="Arial" w:cs="Arial"/>
          <w:lang w:val="es-ES_tradnl"/>
        </w:rPr>
      </w:pPr>
      <w:r>
        <w:rPr>
          <w:rFonts w:ascii="Arial" w:hAnsi="Arial" w:cs="Arial"/>
          <w:lang w:val="es-ES_tradnl"/>
        </w:rPr>
        <w:t xml:space="preserve">El EBITDA del Grupo Adveo en el primer semestre de 2016 asciende a 9,7 millones de euros </w:t>
      </w:r>
      <w:r w:rsidR="008C1207">
        <w:rPr>
          <w:rFonts w:ascii="Arial" w:hAnsi="Arial" w:cs="Arial"/>
          <w:lang w:val="es-ES_tradnl"/>
        </w:rPr>
        <w:t>frente a 14,6 millones en junio de 2016. Si en junio de 2015 se hubieran registrado los saneamientos contabilizados al cierre del ejercicio 2015, el EBITDA comparativo ascendería sólo a 7,1 millones de euros.</w:t>
      </w:r>
    </w:p>
    <w:p w:rsidR="008C1207" w:rsidRDefault="008C1207" w:rsidP="00FE2EF0">
      <w:pPr>
        <w:autoSpaceDE w:val="0"/>
        <w:autoSpaceDN w:val="0"/>
        <w:adjustRightInd w:val="0"/>
        <w:jc w:val="both"/>
        <w:rPr>
          <w:rFonts w:ascii="Arial" w:hAnsi="Arial" w:cs="Arial"/>
          <w:lang w:val="es-ES_tradnl"/>
        </w:rPr>
      </w:pPr>
      <w:bookmarkStart w:id="0" w:name="_GoBack"/>
      <w:bookmarkEnd w:id="0"/>
    </w:p>
    <w:p w:rsidR="00A24DF7" w:rsidRPr="003C2A84" w:rsidRDefault="008C1207" w:rsidP="00A24DF7">
      <w:pPr>
        <w:autoSpaceDE w:val="0"/>
        <w:autoSpaceDN w:val="0"/>
        <w:adjustRightInd w:val="0"/>
        <w:jc w:val="both"/>
        <w:rPr>
          <w:rFonts w:ascii="Arial" w:hAnsi="Arial" w:cs="Arial"/>
          <w:lang w:val="es-ES_tradnl"/>
        </w:rPr>
      </w:pPr>
      <w:r w:rsidRPr="003C2A84">
        <w:rPr>
          <w:rFonts w:ascii="Arial" w:hAnsi="Arial" w:cs="Arial"/>
          <w:lang w:val="es-ES_tradnl"/>
        </w:rPr>
        <w:lastRenderedPageBreak/>
        <w:t>Considerando estos ajustes, l</w:t>
      </w:r>
      <w:r w:rsidR="00FE2EF0" w:rsidRPr="003C2A84">
        <w:rPr>
          <w:rFonts w:ascii="Arial" w:hAnsi="Arial" w:cs="Arial"/>
          <w:lang w:val="es-ES_tradnl"/>
        </w:rPr>
        <w:t>a mejora experimentada en el ejercicio 2016</w:t>
      </w:r>
      <w:r w:rsidR="0074139E" w:rsidRPr="003C2A84">
        <w:rPr>
          <w:rFonts w:ascii="Arial" w:hAnsi="Arial" w:cs="Arial"/>
          <w:lang w:val="es-ES_tradnl"/>
        </w:rPr>
        <w:t xml:space="preserve"> con respecto al primer semestre del ejercicio 2015 </w:t>
      </w:r>
      <w:r w:rsidR="00FE2EF0" w:rsidRPr="003C2A84">
        <w:rPr>
          <w:rFonts w:ascii="Arial" w:hAnsi="Arial" w:cs="Arial"/>
          <w:lang w:val="es-ES_tradnl"/>
        </w:rPr>
        <w:t xml:space="preserve">es consecuencia de </w:t>
      </w:r>
      <w:r w:rsidRPr="003C2A84">
        <w:rPr>
          <w:rFonts w:ascii="Arial" w:hAnsi="Arial" w:cs="Arial"/>
          <w:lang w:val="es-ES_tradnl"/>
        </w:rPr>
        <w:t>la mejora del margen bruto y la re</w:t>
      </w:r>
      <w:r w:rsidR="003C2A84" w:rsidRPr="003C2A84">
        <w:rPr>
          <w:rFonts w:ascii="Arial" w:hAnsi="Arial" w:cs="Arial"/>
          <w:lang w:val="es-ES_tradnl"/>
        </w:rPr>
        <w:t>ducción de costes de explotación.</w:t>
      </w:r>
    </w:p>
    <w:p w:rsidR="003C2A84" w:rsidRPr="003C2A84" w:rsidRDefault="003C2A84" w:rsidP="00A24DF7">
      <w:pPr>
        <w:autoSpaceDE w:val="0"/>
        <w:autoSpaceDN w:val="0"/>
        <w:adjustRightInd w:val="0"/>
        <w:jc w:val="both"/>
        <w:rPr>
          <w:rFonts w:ascii="Arial" w:hAnsi="Arial" w:cs="Arial"/>
          <w:lang w:val="es-ES_tradnl"/>
        </w:rPr>
      </w:pPr>
    </w:p>
    <w:p w:rsidR="003C2A84" w:rsidRPr="003C2A84" w:rsidRDefault="003C2A84" w:rsidP="00A24DF7">
      <w:pPr>
        <w:autoSpaceDE w:val="0"/>
        <w:autoSpaceDN w:val="0"/>
        <w:adjustRightInd w:val="0"/>
        <w:jc w:val="both"/>
        <w:rPr>
          <w:rFonts w:ascii="Arial" w:hAnsi="Arial" w:cs="Arial"/>
          <w:lang w:val="es-ES_tradnl"/>
        </w:rPr>
      </w:pPr>
      <w:r w:rsidRPr="003C2A84">
        <w:rPr>
          <w:rFonts w:ascii="Arial" w:hAnsi="Arial" w:cs="Arial"/>
          <w:lang w:val="es-ES_tradnl"/>
        </w:rPr>
        <w:t>En particular,</w:t>
      </w:r>
    </w:p>
    <w:p w:rsidR="003C2A84" w:rsidRPr="003C2A84" w:rsidRDefault="003C2A84" w:rsidP="00A24DF7">
      <w:pPr>
        <w:autoSpaceDE w:val="0"/>
        <w:autoSpaceDN w:val="0"/>
        <w:adjustRightInd w:val="0"/>
        <w:jc w:val="both"/>
        <w:rPr>
          <w:rFonts w:ascii="Arial" w:hAnsi="Arial" w:cs="Arial"/>
          <w:lang w:val="es-ES_tradnl"/>
        </w:rPr>
      </w:pPr>
    </w:p>
    <w:p w:rsidR="003C2A84" w:rsidRPr="003C2A84" w:rsidRDefault="003C2A84" w:rsidP="003C2A84">
      <w:pPr>
        <w:numPr>
          <w:ilvl w:val="0"/>
          <w:numId w:val="3"/>
        </w:numPr>
        <w:autoSpaceDE w:val="0"/>
        <w:autoSpaceDN w:val="0"/>
        <w:adjustRightInd w:val="0"/>
        <w:jc w:val="both"/>
        <w:rPr>
          <w:rFonts w:ascii="Arial" w:hAnsi="Arial" w:cs="Arial"/>
          <w:lang w:val="es-ES"/>
        </w:rPr>
      </w:pPr>
      <w:r w:rsidRPr="003C2A84">
        <w:rPr>
          <w:rFonts w:ascii="Arial" w:hAnsi="Arial" w:cs="Arial"/>
          <w:lang w:val="es-ES"/>
        </w:rPr>
        <w:t xml:space="preserve">La cifra total del </w:t>
      </w:r>
      <w:r w:rsidRPr="003C2A84">
        <w:rPr>
          <w:rFonts w:ascii="Arial" w:hAnsi="Arial" w:cs="Arial"/>
          <w:b/>
          <w:lang w:val="es-ES"/>
        </w:rPr>
        <w:t>Importe Neto de Volumen de Negocio</w:t>
      </w:r>
      <w:r w:rsidRPr="003C2A84">
        <w:rPr>
          <w:rFonts w:ascii="Arial" w:hAnsi="Arial" w:cs="Arial"/>
          <w:lang w:val="es-ES"/>
        </w:rPr>
        <w:t xml:space="preserve"> cae debido a la reducción de ventas de tinta y tóner que implica un impacto similar en los servicios de valor añadido prestados a nuestros clientes y proveedores. Cabe considerar que el pasado ejercicio se incluían capitalizaciones de la plataforma tecnológica por 6 millones de euros que fueron regularizados a cierre del ejercicio. </w:t>
      </w:r>
    </w:p>
    <w:p w:rsidR="003C2A84" w:rsidRPr="003C2A84" w:rsidRDefault="003C2A84" w:rsidP="003C2A84">
      <w:pPr>
        <w:numPr>
          <w:ilvl w:val="0"/>
          <w:numId w:val="3"/>
        </w:numPr>
        <w:autoSpaceDE w:val="0"/>
        <w:autoSpaceDN w:val="0"/>
        <w:adjustRightInd w:val="0"/>
        <w:jc w:val="both"/>
        <w:rPr>
          <w:rFonts w:ascii="Arial" w:hAnsi="Arial" w:cs="Arial"/>
          <w:lang w:val="es-ES"/>
        </w:rPr>
      </w:pPr>
      <w:r w:rsidRPr="003C2A84">
        <w:rPr>
          <w:rFonts w:ascii="Arial" w:hAnsi="Arial" w:cs="Arial"/>
          <w:lang w:val="es-ES"/>
        </w:rPr>
        <w:t xml:space="preserve">Las </w:t>
      </w:r>
      <w:r w:rsidRPr="003C2A84">
        <w:rPr>
          <w:rFonts w:ascii="Arial" w:hAnsi="Arial" w:cs="Arial"/>
          <w:b/>
          <w:bCs/>
          <w:lang w:val="es-ES"/>
        </w:rPr>
        <w:t xml:space="preserve">Ventas económicas (margen bruto) </w:t>
      </w:r>
      <w:r w:rsidRPr="003C2A84">
        <w:rPr>
          <w:rFonts w:ascii="Arial" w:hAnsi="Arial" w:cs="Arial"/>
          <w:lang w:val="es-ES"/>
        </w:rPr>
        <w:t xml:space="preserve">cerraron con un margen del 19.6%, superior al pasado ejercicio, por el mayor peso de producto tradicional de oficina y otros productos y servicios </w:t>
      </w:r>
    </w:p>
    <w:p w:rsidR="003C2A84" w:rsidRPr="003C2A84" w:rsidRDefault="003C2A84" w:rsidP="003C2A84">
      <w:pPr>
        <w:numPr>
          <w:ilvl w:val="0"/>
          <w:numId w:val="3"/>
        </w:numPr>
        <w:autoSpaceDE w:val="0"/>
        <w:autoSpaceDN w:val="0"/>
        <w:adjustRightInd w:val="0"/>
        <w:jc w:val="both"/>
        <w:rPr>
          <w:rFonts w:ascii="Arial" w:hAnsi="Arial" w:cs="Arial"/>
          <w:lang w:val="es-ES"/>
        </w:rPr>
      </w:pPr>
      <w:r w:rsidRPr="003C2A84">
        <w:rPr>
          <w:rFonts w:ascii="Arial" w:hAnsi="Arial" w:cs="Arial"/>
          <w:lang w:val="es-ES"/>
        </w:rPr>
        <w:t xml:space="preserve">El </w:t>
      </w:r>
      <w:r w:rsidRPr="003C2A84">
        <w:rPr>
          <w:rFonts w:ascii="Arial" w:hAnsi="Arial" w:cs="Arial"/>
          <w:b/>
          <w:bCs/>
          <w:lang w:val="es-ES"/>
        </w:rPr>
        <w:t>EBITDA</w:t>
      </w:r>
      <w:r w:rsidRPr="003C2A84">
        <w:rPr>
          <w:rFonts w:ascii="Arial" w:hAnsi="Arial" w:cs="Arial"/>
          <w:lang w:val="es-ES"/>
        </w:rPr>
        <w:t xml:space="preserve">, de 9,7 millones de euros baja con respecto al ejercicio anterior en términos puramente comparativos. Excluyendo IBERIA el EBITDA generado por el resto del Grupo alcanza 14,5 millones de euros, con un margen del 4.2%. Excluyendo los impactos extraordinarios de 2015 (capitalizaciones, que fueron posteriormente regularizadas, HP y Adveo </w:t>
      </w:r>
      <w:proofErr w:type="spellStart"/>
      <w:r w:rsidRPr="003C2A84">
        <w:rPr>
          <w:rFonts w:ascii="Arial" w:hAnsi="Arial" w:cs="Arial"/>
          <w:lang w:val="es-ES"/>
        </w:rPr>
        <w:t>World</w:t>
      </w:r>
      <w:proofErr w:type="spellEnd"/>
      <w:r w:rsidRPr="003C2A84">
        <w:rPr>
          <w:rFonts w:ascii="Arial" w:hAnsi="Arial" w:cs="Arial"/>
          <w:lang w:val="es-ES"/>
        </w:rPr>
        <w:t>; que elevaron el EBITDA del primer semestre en más de 6 millones de euros), el EBITDA habría mejorado un 80%.</w:t>
      </w:r>
    </w:p>
    <w:p w:rsidR="003C2A84" w:rsidRPr="003C2A84" w:rsidRDefault="003C2A84" w:rsidP="00A24DF7">
      <w:pPr>
        <w:numPr>
          <w:ilvl w:val="0"/>
          <w:numId w:val="3"/>
        </w:numPr>
        <w:autoSpaceDE w:val="0"/>
        <w:autoSpaceDN w:val="0"/>
        <w:adjustRightInd w:val="0"/>
        <w:jc w:val="both"/>
        <w:rPr>
          <w:rFonts w:ascii="Arial" w:hAnsi="Arial" w:cs="Arial"/>
          <w:lang w:val="es-ES"/>
        </w:rPr>
      </w:pPr>
      <w:r w:rsidRPr="003C2A84">
        <w:rPr>
          <w:rFonts w:ascii="Arial" w:hAnsi="Arial" w:cs="Arial"/>
          <w:lang w:val="es-ES"/>
        </w:rPr>
        <w:t xml:space="preserve">El </w:t>
      </w:r>
      <w:r w:rsidRPr="003C2A84">
        <w:rPr>
          <w:rFonts w:ascii="Arial" w:hAnsi="Arial" w:cs="Arial"/>
          <w:b/>
          <w:bCs/>
          <w:lang w:val="es-ES"/>
        </w:rPr>
        <w:t xml:space="preserve">Resultado financiero </w:t>
      </w:r>
      <w:r w:rsidRPr="003C2A84">
        <w:rPr>
          <w:rFonts w:ascii="Arial" w:hAnsi="Arial" w:cs="Arial"/>
          <w:lang w:val="es-ES"/>
        </w:rPr>
        <w:t xml:space="preserve">es de 4,3 millones de euros, inferior al del pasado ejercicio por el impacto en 1Q15 de 3,5 millones de euros debidos a la cancelación de la antigua financiación sindicada. Excluyendo este efecto, el resultado financiero negativo se ha reducido en un 27%. </w:t>
      </w:r>
    </w:p>
    <w:p w:rsidR="0074139E" w:rsidRPr="003C2A84" w:rsidRDefault="003C2A84" w:rsidP="00A24DF7">
      <w:pPr>
        <w:numPr>
          <w:ilvl w:val="0"/>
          <w:numId w:val="3"/>
        </w:numPr>
        <w:autoSpaceDE w:val="0"/>
        <w:autoSpaceDN w:val="0"/>
        <w:adjustRightInd w:val="0"/>
        <w:jc w:val="both"/>
        <w:rPr>
          <w:rFonts w:ascii="Arial" w:hAnsi="Arial" w:cs="Arial"/>
          <w:lang w:val="es-ES"/>
        </w:rPr>
      </w:pPr>
      <w:r w:rsidRPr="003C2A84">
        <w:rPr>
          <w:rFonts w:ascii="Arial" w:hAnsi="Arial" w:cs="Arial"/>
          <w:lang w:val="es-ES_tradnl"/>
        </w:rPr>
        <w:t xml:space="preserve">El epígrafe de </w:t>
      </w:r>
      <w:r w:rsidRPr="003C2A84">
        <w:rPr>
          <w:rFonts w:ascii="Arial" w:hAnsi="Arial" w:cs="Arial"/>
          <w:b/>
          <w:lang w:val="es-ES_tradnl"/>
        </w:rPr>
        <w:t>Resultados no O</w:t>
      </w:r>
      <w:r w:rsidR="0074139E" w:rsidRPr="003C2A84">
        <w:rPr>
          <w:rFonts w:ascii="Arial" w:hAnsi="Arial" w:cs="Arial"/>
          <w:b/>
          <w:lang w:val="es-ES_tradnl"/>
        </w:rPr>
        <w:t>perativos</w:t>
      </w:r>
      <w:r w:rsidR="0074139E" w:rsidRPr="003C2A84">
        <w:rPr>
          <w:rFonts w:ascii="Arial" w:hAnsi="Arial" w:cs="Arial"/>
          <w:lang w:val="es-ES_tradnl"/>
        </w:rPr>
        <w:t xml:space="preserve"> a 30 de junio de</w:t>
      </w:r>
      <w:r w:rsidR="00A82E09">
        <w:rPr>
          <w:rFonts w:ascii="Arial" w:hAnsi="Arial" w:cs="Arial"/>
          <w:lang w:val="es-ES_tradnl"/>
        </w:rPr>
        <w:t xml:space="preserve"> 2016 recoge una pérdida de 15,5</w:t>
      </w:r>
      <w:r w:rsidR="0074139E" w:rsidRPr="003C2A84">
        <w:rPr>
          <w:rFonts w:ascii="Arial" w:hAnsi="Arial" w:cs="Arial"/>
          <w:lang w:val="es-ES_tradnl"/>
        </w:rPr>
        <w:t xml:space="preserve"> millones de euros que incluye fundamentalmente  la dotación de </w:t>
      </w:r>
      <w:r w:rsidR="008C1207" w:rsidRPr="003C2A84">
        <w:rPr>
          <w:rFonts w:ascii="Arial" w:hAnsi="Arial" w:cs="Arial"/>
          <w:lang w:val="es-ES_tradnl"/>
        </w:rPr>
        <w:t xml:space="preserve">una provisión de </w:t>
      </w:r>
      <w:r w:rsidR="00A82E09">
        <w:rPr>
          <w:rFonts w:ascii="Arial" w:hAnsi="Arial" w:cs="Arial"/>
          <w:lang w:val="es-ES_tradnl"/>
        </w:rPr>
        <w:t>16,3</w:t>
      </w:r>
      <w:r w:rsidR="00FE2EF0" w:rsidRPr="003C2A84">
        <w:rPr>
          <w:rFonts w:ascii="Arial" w:hAnsi="Arial" w:cs="Arial"/>
          <w:lang w:val="es-ES_tradnl"/>
        </w:rPr>
        <w:t xml:space="preserve"> millones de euros por la totalidad los crédit</w:t>
      </w:r>
      <w:r w:rsidR="0074139E" w:rsidRPr="003C2A84">
        <w:rPr>
          <w:rFonts w:ascii="Arial" w:hAnsi="Arial" w:cs="Arial"/>
          <w:lang w:val="es-ES_tradnl"/>
        </w:rPr>
        <w:t>os concedidos a UNIPAPEL, S.L. y, en sentido contrario, la plusvalía de 1,0 millones de euros obtenida en la enajenación de una inversión inmobiliaria.</w:t>
      </w:r>
    </w:p>
    <w:p w:rsidR="0074139E" w:rsidRDefault="0074139E" w:rsidP="00A24DF7">
      <w:pPr>
        <w:autoSpaceDE w:val="0"/>
        <w:autoSpaceDN w:val="0"/>
        <w:adjustRightInd w:val="0"/>
        <w:jc w:val="both"/>
        <w:rPr>
          <w:rFonts w:ascii="Arial" w:hAnsi="Arial" w:cs="Arial"/>
          <w:lang w:val="es-ES_tradnl"/>
        </w:rPr>
      </w:pPr>
    </w:p>
    <w:p w:rsidR="0074139E" w:rsidRDefault="0074139E" w:rsidP="00EB6948">
      <w:pPr>
        <w:autoSpaceDE w:val="0"/>
        <w:autoSpaceDN w:val="0"/>
        <w:adjustRightInd w:val="0"/>
        <w:jc w:val="both"/>
        <w:rPr>
          <w:rFonts w:ascii="Arial" w:hAnsi="Arial" w:cs="Arial"/>
          <w:lang w:val="es-ES_tradnl"/>
        </w:rPr>
      </w:pPr>
      <w:r>
        <w:rPr>
          <w:rFonts w:ascii="Arial" w:hAnsi="Arial" w:cs="Arial"/>
          <w:lang w:val="es-ES_tradnl"/>
        </w:rPr>
        <w:t xml:space="preserve">La dotación de la provisión por deterioro sobre los créditos concedidos a UNIPAPEL, S.L. viene justificada por el acogimiento de esta esta Sociedad al mecanismo de protección previsto en el artículo 5 bis de la Ley Concursal, la publicación de sendos expedientes de regulación de empleo, tanto temporal como de extinción, el </w:t>
      </w:r>
      <w:r w:rsidR="00EB6948" w:rsidRPr="00EB6948">
        <w:rPr>
          <w:rFonts w:ascii="Arial" w:hAnsi="Arial" w:cs="Arial"/>
          <w:lang w:val="es-ES_tradnl"/>
        </w:rPr>
        <w:t>incumplimiento, desde el segundo trimestre de 2016, de</w:t>
      </w:r>
      <w:r w:rsidRPr="00EB6948">
        <w:rPr>
          <w:rFonts w:ascii="Arial" w:hAnsi="Arial" w:cs="Arial"/>
          <w:lang w:val="es-ES_tradnl"/>
        </w:rPr>
        <w:t xml:space="preserve"> determinadas obligaciones de pago de</w:t>
      </w:r>
      <w:r w:rsidR="00EB6948" w:rsidRPr="00EB6948">
        <w:rPr>
          <w:rFonts w:ascii="Arial" w:hAnsi="Arial" w:cs="Arial"/>
          <w:lang w:val="es-ES_tradnl"/>
        </w:rPr>
        <w:t xml:space="preserve"> las cuotas de financiación, de</w:t>
      </w:r>
      <w:r w:rsidRPr="00EB6948">
        <w:rPr>
          <w:rFonts w:ascii="Arial" w:hAnsi="Arial" w:cs="Arial"/>
          <w:lang w:val="es-ES_tradnl"/>
        </w:rPr>
        <w:t xml:space="preserve"> las cuotas derivadas</w:t>
      </w:r>
      <w:r w:rsidR="00EB6948" w:rsidRPr="00EB6948">
        <w:rPr>
          <w:rFonts w:ascii="Arial" w:hAnsi="Arial" w:cs="Arial"/>
          <w:lang w:val="es-ES_tradnl"/>
        </w:rPr>
        <w:t xml:space="preserve"> del contrato de arrendamiento, así como de</w:t>
      </w:r>
      <w:r w:rsidRPr="00EB6948">
        <w:rPr>
          <w:rFonts w:ascii="Arial" w:hAnsi="Arial" w:cs="Arial"/>
          <w:lang w:val="es-ES_tradnl"/>
        </w:rPr>
        <w:t xml:space="preserve"> las obligaciones de suministro de mercaderías</w:t>
      </w:r>
      <w:r w:rsidR="00EB6948" w:rsidRPr="00EB6948">
        <w:rPr>
          <w:rFonts w:ascii="Arial" w:hAnsi="Arial" w:cs="Arial"/>
          <w:lang w:val="es-ES_tradnl"/>
        </w:rPr>
        <w:t xml:space="preserve"> conforme al contrato de maquila existente entre las partes.</w:t>
      </w:r>
    </w:p>
    <w:p w:rsidR="00EB6948" w:rsidRPr="00EB6948" w:rsidRDefault="00EB6948" w:rsidP="00EB6948">
      <w:pPr>
        <w:autoSpaceDE w:val="0"/>
        <w:autoSpaceDN w:val="0"/>
        <w:adjustRightInd w:val="0"/>
        <w:jc w:val="both"/>
        <w:rPr>
          <w:rFonts w:ascii="Arial" w:hAnsi="Arial" w:cs="Arial"/>
          <w:lang w:val="es-ES_tradnl"/>
        </w:rPr>
      </w:pPr>
    </w:p>
    <w:p w:rsidR="00A24DF7" w:rsidRPr="00EB6948" w:rsidRDefault="0074139E" w:rsidP="0074139E">
      <w:pPr>
        <w:autoSpaceDE w:val="0"/>
        <w:autoSpaceDN w:val="0"/>
        <w:adjustRightInd w:val="0"/>
        <w:jc w:val="both"/>
        <w:rPr>
          <w:rFonts w:ascii="Arial" w:hAnsi="Arial" w:cs="Arial"/>
          <w:lang w:val="es-ES_tradnl"/>
        </w:rPr>
      </w:pPr>
      <w:r w:rsidRPr="00EB6948">
        <w:rPr>
          <w:rFonts w:ascii="Arial" w:hAnsi="Arial" w:cs="Arial"/>
          <w:lang w:val="es-ES_tradnl"/>
        </w:rPr>
        <w:t xml:space="preserve">Los Administradores de ADVEO habían reseñado este riesgo de crédito en el Folleto Informativo de Ampliación de Capital </w:t>
      </w:r>
      <w:r w:rsidR="00EB6948" w:rsidRPr="00EB6948">
        <w:rPr>
          <w:rFonts w:ascii="Arial" w:hAnsi="Arial" w:cs="Arial"/>
          <w:lang w:val="es-ES_tradnl"/>
        </w:rPr>
        <w:t xml:space="preserve">registrado en junio de 2016, que se ha materializado, conforme a los acontecimientos descritos en el párrafo </w:t>
      </w:r>
      <w:r w:rsidR="00EB6948" w:rsidRPr="00EB6948">
        <w:rPr>
          <w:rFonts w:ascii="Arial" w:hAnsi="Arial" w:cs="Arial"/>
          <w:lang w:val="es-ES_tradnl"/>
        </w:rPr>
        <w:lastRenderedPageBreak/>
        <w:t>anterior, en los meses anteriores a la fecha de publicación de los resultados semestrales del Grupo Adveo.</w:t>
      </w:r>
    </w:p>
    <w:p w:rsidR="0074139E" w:rsidRDefault="0074139E" w:rsidP="00A24DF7">
      <w:pPr>
        <w:autoSpaceDE w:val="0"/>
        <w:autoSpaceDN w:val="0"/>
        <w:adjustRightInd w:val="0"/>
        <w:jc w:val="both"/>
        <w:rPr>
          <w:rFonts w:ascii="Arial" w:hAnsi="Arial" w:cs="Arial"/>
          <w:lang w:val="es-ES_tradnl"/>
        </w:rPr>
      </w:pPr>
    </w:p>
    <w:p w:rsidR="00EB6948" w:rsidRDefault="00A24DF7" w:rsidP="00A24DF7">
      <w:pPr>
        <w:autoSpaceDE w:val="0"/>
        <w:autoSpaceDN w:val="0"/>
        <w:adjustRightInd w:val="0"/>
        <w:jc w:val="both"/>
        <w:rPr>
          <w:rFonts w:ascii="Arial" w:hAnsi="Arial" w:cs="Arial"/>
          <w:lang w:val="es-ES_tradnl"/>
        </w:rPr>
      </w:pPr>
      <w:r w:rsidRPr="00A84837">
        <w:rPr>
          <w:rFonts w:ascii="Arial" w:hAnsi="Arial" w:cs="Arial"/>
          <w:lang w:val="es-ES_tradnl"/>
        </w:rPr>
        <w:t xml:space="preserve">El Grupo Adveo presenta unas pérdidas netas en el </w:t>
      </w:r>
      <w:r w:rsidR="00220F8C">
        <w:rPr>
          <w:rFonts w:ascii="Arial" w:hAnsi="Arial" w:cs="Arial"/>
          <w:lang w:val="es-ES_tradnl"/>
        </w:rPr>
        <w:t>primer semestre del ejercicio 2016</w:t>
      </w:r>
      <w:r w:rsidRPr="00A84837">
        <w:rPr>
          <w:rFonts w:ascii="Arial" w:hAnsi="Arial" w:cs="Arial"/>
          <w:lang w:val="es-ES_tradnl"/>
        </w:rPr>
        <w:t xml:space="preserve"> de </w:t>
      </w:r>
      <w:r w:rsidR="00A82E09">
        <w:rPr>
          <w:rFonts w:ascii="Arial" w:hAnsi="Arial" w:cs="Arial"/>
          <w:lang w:val="es-ES_tradnl"/>
        </w:rPr>
        <w:t>20,5</w:t>
      </w:r>
      <w:r w:rsidRPr="00A84837">
        <w:rPr>
          <w:rFonts w:ascii="Arial" w:hAnsi="Arial" w:cs="Arial"/>
          <w:lang w:val="es-ES_tradnl"/>
        </w:rPr>
        <w:t xml:space="preserve"> millones de euros, frente a los resultados netos </w:t>
      </w:r>
      <w:r w:rsidR="00013D61">
        <w:rPr>
          <w:rFonts w:ascii="Arial" w:hAnsi="Arial" w:cs="Arial"/>
          <w:lang w:val="es-ES_tradnl"/>
        </w:rPr>
        <w:t>publicados</w:t>
      </w:r>
      <w:r w:rsidRPr="00A84837">
        <w:rPr>
          <w:rFonts w:ascii="Arial" w:hAnsi="Arial" w:cs="Arial"/>
          <w:lang w:val="es-ES_tradnl"/>
        </w:rPr>
        <w:t xml:space="preserve"> del </w:t>
      </w:r>
      <w:r w:rsidR="00220F8C">
        <w:rPr>
          <w:rFonts w:ascii="Arial" w:hAnsi="Arial" w:cs="Arial"/>
          <w:lang w:val="es-ES_tradnl"/>
        </w:rPr>
        <w:t>primer semestre del ejercicio 2015</w:t>
      </w:r>
      <w:r w:rsidRPr="00A84837">
        <w:rPr>
          <w:rFonts w:ascii="Arial" w:hAnsi="Arial" w:cs="Arial"/>
          <w:lang w:val="es-ES_tradnl"/>
        </w:rPr>
        <w:t xml:space="preserve"> por importe de </w:t>
      </w:r>
      <w:r w:rsidR="00EB6948">
        <w:rPr>
          <w:rFonts w:ascii="Arial" w:hAnsi="Arial" w:cs="Arial"/>
          <w:lang w:val="es-ES_tradnl"/>
        </w:rPr>
        <w:t>-</w:t>
      </w:r>
      <w:r w:rsidR="00013D61">
        <w:rPr>
          <w:rFonts w:ascii="Arial" w:hAnsi="Arial" w:cs="Arial"/>
          <w:lang w:val="es-ES_tradnl"/>
        </w:rPr>
        <w:t>1,2</w:t>
      </w:r>
      <w:r w:rsidRPr="00A84837">
        <w:rPr>
          <w:rFonts w:ascii="Arial" w:hAnsi="Arial" w:cs="Arial"/>
          <w:lang w:val="es-ES_tradnl"/>
        </w:rPr>
        <w:t xml:space="preserve"> millones de euros. </w:t>
      </w:r>
    </w:p>
    <w:p w:rsidR="00EB6948" w:rsidRDefault="00EB6948" w:rsidP="00A24DF7">
      <w:pPr>
        <w:autoSpaceDE w:val="0"/>
        <w:autoSpaceDN w:val="0"/>
        <w:adjustRightInd w:val="0"/>
        <w:jc w:val="both"/>
        <w:rPr>
          <w:rFonts w:ascii="Arial" w:hAnsi="Arial" w:cs="Arial"/>
          <w:lang w:val="es-ES_tradnl"/>
        </w:rPr>
      </w:pPr>
    </w:p>
    <w:p w:rsidR="00EB6948" w:rsidRDefault="00A24DF7" w:rsidP="00A24DF7">
      <w:pPr>
        <w:autoSpaceDE w:val="0"/>
        <w:autoSpaceDN w:val="0"/>
        <w:adjustRightInd w:val="0"/>
        <w:jc w:val="both"/>
        <w:rPr>
          <w:rFonts w:ascii="Arial" w:hAnsi="Arial" w:cs="Arial"/>
          <w:lang w:val="es-ES_tradnl"/>
        </w:rPr>
      </w:pPr>
      <w:r w:rsidRPr="00A84837">
        <w:rPr>
          <w:rFonts w:ascii="Arial" w:hAnsi="Arial" w:cs="Arial"/>
          <w:lang w:val="es-ES_tradnl"/>
        </w:rPr>
        <w:t>Si</w:t>
      </w:r>
      <w:r w:rsidR="00EB6948">
        <w:rPr>
          <w:rFonts w:ascii="Arial" w:hAnsi="Arial" w:cs="Arial"/>
          <w:lang w:val="es-ES_tradnl"/>
        </w:rPr>
        <w:t>n el efecto extraordinario del deterioro registrado por los créditos con UNIPAPEL, S.L. el resultado neto del primer</w:t>
      </w:r>
      <w:r w:rsidR="00013D61">
        <w:rPr>
          <w:rFonts w:ascii="Arial" w:hAnsi="Arial" w:cs="Arial"/>
          <w:lang w:val="es-ES_tradnl"/>
        </w:rPr>
        <w:t xml:space="preserve"> semestre del ejercicio hubiera ascendido a -3,1</w:t>
      </w:r>
      <w:r w:rsidR="00EB6948">
        <w:rPr>
          <w:rFonts w:ascii="Arial" w:hAnsi="Arial" w:cs="Arial"/>
          <w:lang w:val="es-ES_tradnl"/>
        </w:rPr>
        <w:t xml:space="preserve"> millones de euros.</w:t>
      </w:r>
    </w:p>
    <w:p w:rsidR="00A24DF7" w:rsidRDefault="00A24DF7" w:rsidP="00A24DF7">
      <w:pPr>
        <w:autoSpaceDE w:val="0"/>
        <w:autoSpaceDN w:val="0"/>
        <w:adjustRightInd w:val="0"/>
        <w:jc w:val="both"/>
        <w:rPr>
          <w:rFonts w:ascii="Arial" w:hAnsi="Arial" w:cs="Arial"/>
          <w:lang w:val="es-ES_tradnl"/>
        </w:rPr>
      </w:pPr>
    </w:p>
    <w:p w:rsidR="00A24DF7" w:rsidRDefault="00A24DF7" w:rsidP="00A24DF7">
      <w:pPr>
        <w:autoSpaceDE w:val="0"/>
        <w:autoSpaceDN w:val="0"/>
        <w:adjustRightInd w:val="0"/>
        <w:jc w:val="both"/>
        <w:rPr>
          <w:rFonts w:ascii="Arial" w:hAnsi="Arial" w:cs="Arial"/>
          <w:lang w:val="es-ES_tradnl"/>
        </w:rPr>
      </w:pPr>
    </w:p>
    <w:p w:rsidR="00A24DF7" w:rsidRDefault="00A24DF7" w:rsidP="00A24DF7">
      <w:pPr>
        <w:numPr>
          <w:ilvl w:val="0"/>
          <w:numId w:val="1"/>
        </w:numPr>
        <w:autoSpaceDE w:val="0"/>
        <w:autoSpaceDN w:val="0"/>
        <w:adjustRightInd w:val="0"/>
        <w:jc w:val="both"/>
        <w:rPr>
          <w:rFonts w:ascii="Arial" w:hAnsi="Arial" w:cs="Arial"/>
          <w:b/>
          <w:bCs/>
          <w:lang w:val="es-ES_tradnl"/>
        </w:rPr>
      </w:pPr>
      <w:r w:rsidRPr="0078116A">
        <w:rPr>
          <w:rFonts w:ascii="Arial" w:hAnsi="Arial" w:cs="Arial"/>
          <w:b/>
          <w:bCs/>
          <w:lang w:val="es-ES_tradnl"/>
        </w:rPr>
        <w:t>Importe de la cifra de negocios y resultado de los segmentos</w:t>
      </w:r>
    </w:p>
    <w:p w:rsidR="00A24DF7" w:rsidRDefault="00A24DF7" w:rsidP="00A24DF7">
      <w:pPr>
        <w:autoSpaceDE w:val="0"/>
        <w:autoSpaceDN w:val="0"/>
        <w:adjustRightInd w:val="0"/>
        <w:jc w:val="both"/>
        <w:rPr>
          <w:rFonts w:ascii="Arial" w:hAnsi="Arial" w:cs="Arial"/>
          <w:bCs/>
          <w:lang w:val="es-ES_tradnl"/>
        </w:rPr>
      </w:pPr>
    </w:p>
    <w:p w:rsidR="00A24DF7" w:rsidRDefault="00A24DF7" w:rsidP="00A24DF7">
      <w:pPr>
        <w:autoSpaceDE w:val="0"/>
        <w:autoSpaceDN w:val="0"/>
        <w:adjustRightInd w:val="0"/>
        <w:jc w:val="both"/>
        <w:rPr>
          <w:rFonts w:ascii="Arial" w:hAnsi="Arial" w:cs="Arial"/>
          <w:lang w:val="es-ES_tradnl"/>
        </w:rPr>
      </w:pPr>
      <w:r w:rsidRPr="0078116A">
        <w:rPr>
          <w:rFonts w:ascii="Arial" w:hAnsi="Arial" w:cs="Arial"/>
          <w:lang w:val="es-ES_tradnl"/>
        </w:rPr>
        <w:t>Esta información ha sido desarrollada en el presente Informe Financiero, en concreto en su capítulo IV - Información Financiera Seleccionada, apartado 15.</w:t>
      </w:r>
    </w:p>
    <w:p w:rsidR="00013D61" w:rsidRDefault="00013D61" w:rsidP="00A24DF7">
      <w:pPr>
        <w:autoSpaceDE w:val="0"/>
        <w:autoSpaceDN w:val="0"/>
        <w:adjustRightInd w:val="0"/>
        <w:jc w:val="both"/>
        <w:rPr>
          <w:rFonts w:ascii="Arial" w:hAnsi="Arial" w:cs="Arial"/>
          <w:bCs/>
          <w:lang w:val="es-ES_tradnl"/>
        </w:rPr>
      </w:pPr>
    </w:p>
    <w:p w:rsidR="00013D61" w:rsidRPr="00D30CC0" w:rsidRDefault="00013D61" w:rsidP="00A24DF7">
      <w:pPr>
        <w:autoSpaceDE w:val="0"/>
        <w:autoSpaceDN w:val="0"/>
        <w:adjustRightInd w:val="0"/>
        <w:jc w:val="both"/>
        <w:rPr>
          <w:rFonts w:ascii="Arial" w:hAnsi="Arial" w:cs="Arial"/>
          <w:bCs/>
          <w:lang w:val="es-ES_tradnl"/>
        </w:rPr>
      </w:pPr>
    </w:p>
    <w:p w:rsidR="00A24DF7" w:rsidRPr="0078116A" w:rsidRDefault="00A24DF7" w:rsidP="00A24DF7">
      <w:pPr>
        <w:numPr>
          <w:ilvl w:val="0"/>
          <w:numId w:val="1"/>
        </w:numPr>
        <w:autoSpaceDE w:val="0"/>
        <w:autoSpaceDN w:val="0"/>
        <w:adjustRightInd w:val="0"/>
        <w:jc w:val="both"/>
        <w:rPr>
          <w:rFonts w:ascii="Arial" w:hAnsi="Arial" w:cs="Arial"/>
          <w:b/>
          <w:bCs/>
          <w:lang w:val="es-ES_tradnl"/>
        </w:rPr>
      </w:pPr>
      <w:r w:rsidRPr="0078116A">
        <w:rPr>
          <w:rFonts w:ascii="Arial" w:hAnsi="Arial" w:cs="Arial"/>
          <w:b/>
          <w:bCs/>
          <w:lang w:val="es-ES_tradnl"/>
        </w:rPr>
        <w:t>Emisiones, recompras y reembolsos de valores representativos de la deuda o del capital de la Sociedad</w:t>
      </w:r>
    </w:p>
    <w:p w:rsidR="00A24DF7" w:rsidRPr="0078116A" w:rsidRDefault="00A24DF7" w:rsidP="00A24DF7">
      <w:pPr>
        <w:autoSpaceDE w:val="0"/>
        <w:autoSpaceDN w:val="0"/>
        <w:adjustRightInd w:val="0"/>
        <w:jc w:val="both"/>
        <w:rPr>
          <w:rFonts w:ascii="Arial" w:hAnsi="Arial" w:cs="Arial"/>
          <w:bCs/>
          <w:lang w:val="es-ES_tradnl"/>
        </w:rPr>
      </w:pPr>
    </w:p>
    <w:p w:rsidR="00C468FD" w:rsidRDefault="00C468FD" w:rsidP="00C468FD">
      <w:pPr>
        <w:autoSpaceDE w:val="0"/>
        <w:autoSpaceDN w:val="0"/>
        <w:adjustRightInd w:val="0"/>
        <w:jc w:val="both"/>
        <w:rPr>
          <w:rFonts w:ascii="Arial" w:hAnsi="Arial" w:cs="Arial"/>
          <w:lang w:val="es-ES_tradnl"/>
        </w:rPr>
      </w:pPr>
      <w:r>
        <w:rPr>
          <w:rFonts w:ascii="Arial" w:hAnsi="Arial" w:cs="Arial"/>
          <w:lang w:val="es-ES_tradnl"/>
        </w:rPr>
        <w:t xml:space="preserve">Con fecha 27 de enero de 2015, </w:t>
      </w:r>
      <w:r w:rsidRPr="001A3BCA">
        <w:rPr>
          <w:rFonts w:ascii="Arial" w:hAnsi="Arial" w:cs="Arial"/>
          <w:lang w:val="es-ES_tradnl"/>
        </w:rPr>
        <w:t>A</w:t>
      </w:r>
      <w:r>
        <w:rPr>
          <w:rFonts w:ascii="Arial" w:hAnsi="Arial" w:cs="Arial"/>
          <w:lang w:val="es-ES_tradnl"/>
        </w:rPr>
        <w:t xml:space="preserve">dveo Group International, S.A. </w:t>
      </w:r>
      <w:r w:rsidRPr="001A3BCA">
        <w:rPr>
          <w:rFonts w:ascii="Arial" w:hAnsi="Arial" w:cs="Arial"/>
          <w:lang w:val="es-ES_tradnl"/>
        </w:rPr>
        <w:t xml:space="preserve">junto con varias de sus filiales </w:t>
      </w:r>
      <w:r>
        <w:rPr>
          <w:rFonts w:ascii="Arial" w:hAnsi="Arial" w:cs="Arial"/>
          <w:lang w:val="es-ES_tradnl"/>
        </w:rPr>
        <w:t>suscribió</w:t>
      </w:r>
      <w:r w:rsidRPr="001A3BCA">
        <w:rPr>
          <w:rFonts w:ascii="Arial" w:hAnsi="Arial" w:cs="Arial"/>
          <w:lang w:val="es-ES_tradnl"/>
        </w:rPr>
        <w:t xml:space="preserve"> un contrato de financiación sindicada a largo plazo en el mercado bancario, por un importe total de </w:t>
      </w:r>
      <w:r>
        <w:rPr>
          <w:rFonts w:ascii="Arial" w:hAnsi="Arial" w:cs="Arial"/>
          <w:lang w:val="es-ES_tradnl"/>
        </w:rPr>
        <w:t>115 millones de euros</w:t>
      </w:r>
      <w:r w:rsidRPr="001A3BCA">
        <w:rPr>
          <w:rFonts w:ascii="Arial" w:hAnsi="Arial" w:cs="Arial"/>
          <w:lang w:val="es-ES_tradnl"/>
        </w:rPr>
        <w:t xml:space="preserve">, bajo la modalidad de un préstamo (por importe de </w:t>
      </w:r>
      <w:r>
        <w:rPr>
          <w:rFonts w:ascii="Arial" w:hAnsi="Arial" w:cs="Arial"/>
          <w:lang w:val="es-ES_tradnl"/>
        </w:rPr>
        <w:t xml:space="preserve">100 millones de euros) </w:t>
      </w:r>
      <w:r w:rsidRPr="001A3BCA">
        <w:rPr>
          <w:rFonts w:ascii="Arial" w:hAnsi="Arial" w:cs="Arial"/>
          <w:lang w:val="es-ES_tradnl"/>
        </w:rPr>
        <w:t xml:space="preserve">y un crédito mercantil </w:t>
      </w:r>
      <w:proofErr w:type="spellStart"/>
      <w:r w:rsidRPr="001A3BCA">
        <w:rPr>
          <w:rFonts w:ascii="Arial" w:hAnsi="Arial" w:cs="Arial"/>
          <w:lang w:val="es-ES_tradnl"/>
        </w:rPr>
        <w:t>revolving</w:t>
      </w:r>
      <w:proofErr w:type="spellEnd"/>
      <w:r w:rsidRPr="001A3BCA">
        <w:rPr>
          <w:rFonts w:ascii="Arial" w:hAnsi="Arial" w:cs="Arial"/>
          <w:lang w:val="es-ES_tradnl"/>
        </w:rPr>
        <w:t xml:space="preserve"> (por importe máximo de </w:t>
      </w:r>
      <w:r>
        <w:rPr>
          <w:rFonts w:ascii="Arial" w:hAnsi="Arial" w:cs="Arial"/>
          <w:lang w:val="es-ES_tradnl"/>
        </w:rPr>
        <w:t>15 millones de euros)</w:t>
      </w:r>
      <w:r w:rsidRPr="001A3BCA">
        <w:rPr>
          <w:rFonts w:ascii="Arial" w:hAnsi="Arial" w:cs="Arial"/>
          <w:lang w:val="es-ES_tradnl"/>
        </w:rPr>
        <w:t xml:space="preserve">. </w:t>
      </w:r>
    </w:p>
    <w:p w:rsidR="002E7532" w:rsidRPr="002E7532" w:rsidRDefault="00C468FD" w:rsidP="002E7532">
      <w:pPr>
        <w:autoSpaceDE w:val="0"/>
        <w:autoSpaceDN w:val="0"/>
        <w:adjustRightInd w:val="0"/>
        <w:spacing w:before="240"/>
        <w:jc w:val="both"/>
        <w:rPr>
          <w:rFonts w:ascii="Arial" w:hAnsi="Arial" w:cs="Arial"/>
          <w:lang w:val="es-ES_tradnl"/>
        </w:rPr>
      </w:pPr>
      <w:r w:rsidRPr="001A3BCA">
        <w:rPr>
          <w:rFonts w:ascii="Arial" w:hAnsi="Arial" w:cs="Arial"/>
          <w:lang w:val="es-ES_tradnl"/>
        </w:rPr>
        <w:t>La cit</w:t>
      </w:r>
      <w:r>
        <w:rPr>
          <w:rFonts w:ascii="Arial" w:hAnsi="Arial" w:cs="Arial"/>
          <w:lang w:val="es-ES_tradnl"/>
        </w:rPr>
        <w:t>ada operación de financiación fue</w:t>
      </w:r>
      <w:r w:rsidRPr="001A3BCA">
        <w:rPr>
          <w:rFonts w:ascii="Arial" w:hAnsi="Arial" w:cs="Arial"/>
          <w:lang w:val="es-ES_tradnl"/>
        </w:rPr>
        <w:t xml:space="preserve"> suscrita por A</w:t>
      </w:r>
      <w:r>
        <w:rPr>
          <w:rFonts w:ascii="Arial" w:hAnsi="Arial" w:cs="Arial"/>
          <w:lang w:val="es-ES_tradnl"/>
        </w:rPr>
        <w:t>dveo</w:t>
      </w:r>
      <w:r w:rsidRPr="001A3BCA">
        <w:rPr>
          <w:rFonts w:ascii="Arial" w:hAnsi="Arial" w:cs="Arial"/>
          <w:lang w:val="es-ES_tradnl"/>
        </w:rPr>
        <w:t xml:space="preserve"> con seis bancos y tiene como objeto la atención de necesidades corporativas de A</w:t>
      </w:r>
      <w:r>
        <w:rPr>
          <w:rFonts w:ascii="Arial" w:hAnsi="Arial" w:cs="Arial"/>
          <w:lang w:val="es-ES_tradnl"/>
        </w:rPr>
        <w:t>dveo</w:t>
      </w:r>
      <w:r w:rsidRPr="001A3BCA">
        <w:rPr>
          <w:rFonts w:ascii="Arial" w:hAnsi="Arial" w:cs="Arial"/>
          <w:lang w:val="es-ES_tradnl"/>
        </w:rPr>
        <w:t xml:space="preserve"> y/o sus filiales prestatarias en la operación (Francia y Alemania junto con la propia </w:t>
      </w:r>
      <w:r>
        <w:rPr>
          <w:rFonts w:ascii="Arial" w:hAnsi="Arial" w:cs="Arial"/>
          <w:lang w:val="es-ES_tradnl"/>
        </w:rPr>
        <w:t>sociedad dominante del Grupo</w:t>
      </w:r>
      <w:r w:rsidRPr="001A3BCA">
        <w:rPr>
          <w:rFonts w:ascii="Arial" w:hAnsi="Arial" w:cs="Arial"/>
          <w:lang w:val="es-ES_tradnl"/>
        </w:rPr>
        <w:t>)</w:t>
      </w:r>
      <w:r>
        <w:rPr>
          <w:rFonts w:ascii="Arial" w:hAnsi="Arial" w:cs="Arial"/>
          <w:lang w:val="es-ES_tradnl"/>
        </w:rPr>
        <w:t>.</w:t>
      </w:r>
      <w:r w:rsidRPr="00C468FD">
        <w:rPr>
          <w:rFonts w:ascii="Arial" w:hAnsi="Arial" w:cs="Arial"/>
          <w:lang w:val="es-ES_tradnl"/>
        </w:rPr>
        <w:t xml:space="preserve"> </w:t>
      </w:r>
      <w:r w:rsidR="002E7532" w:rsidRPr="002E7532">
        <w:rPr>
          <w:rFonts w:ascii="Arial" w:hAnsi="Arial" w:cs="Arial"/>
          <w:lang w:val="es-ES_tradnl"/>
        </w:rPr>
        <w:t xml:space="preserve">Este contrato de financiación exige el cumplimiento por parte del Grupo Adveo de determinados ratios y niveles financieros (covenants) y establece limitaciones a la distribución de dividendos. </w:t>
      </w:r>
    </w:p>
    <w:p w:rsidR="00C468FD" w:rsidRPr="002E7532" w:rsidRDefault="00C468FD" w:rsidP="00C468FD">
      <w:pPr>
        <w:autoSpaceDE w:val="0"/>
        <w:autoSpaceDN w:val="0"/>
        <w:adjustRightInd w:val="0"/>
        <w:jc w:val="both"/>
        <w:rPr>
          <w:rFonts w:ascii="Arial" w:hAnsi="Arial" w:cs="Arial"/>
          <w:lang w:val="es-ES_tradnl"/>
        </w:rPr>
      </w:pPr>
    </w:p>
    <w:p w:rsidR="00C468FD" w:rsidRDefault="00C468FD" w:rsidP="00C468FD">
      <w:pPr>
        <w:autoSpaceDE w:val="0"/>
        <w:autoSpaceDN w:val="0"/>
        <w:adjustRightInd w:val="0"/>
        <w:jc w:val="both"/>
        <w:rPr>
          <w:rFonts w:ascii="Arial" w:hAnsi="Arial" w:cs="Arial"/>
          <w:lang w:val="es-ES_tradnl"/>
        </w:rPr>
      </w:pPr>
      <w:r w:rsidRPr="00C468FD">
        <w:rPr>
          <w:rFonts w:ascii="Arial" w:hAnsi="Arial" w:cs="Arial"/>
          <w:lang w:val="es-ES_tradnl"/>
        </w:rPr>
        <w:t>A 31 de diciemb</w:t>
      </w:r>
      <w:r w:rsidR="002E7532">
        <w:rPr>
          <w:rFonts w:ascii="Arial" w:hAnsi="Arial" w:cs="Arial"/>
          <w:lang w:val="es-ES_tradnl"/>
        </w:rPr>
        <w:t>re de 2015 el Grupo Adveo no cumplía</w:t>
      </w:r>
      <w:r w:rsidRPr="00C468FD">
        <w:rPr>
          <w:rFonts w:ascii="Arial" w:hAnsi="Arial" w:cs="Arial"/>
          <w:lang w:val="es-ES_tradnl"/>
        </w:rPr>
        <w:t xml:space="preserve"> con estos ratios.</w:t>
      </w:r>
    </w:p>
    <w:p w:rsidR="00C468FD" w:rsidRPr="00C468FD" w:rsidRDefault="00C468FD" w:rsidP="00C468FD">
      <w:pPr>
        <w:autoSpaceDE w:val="0"/>
        <w:autoSpaceDN w:val="0"/>
        <w:adjustRightInd w:val="0"/>
        <w:jc w:val="both"/>
        <w:rPr>
          <w:rFonts w:ascii="Arial" w:hAnsi="Arial" w:cs="Arial"/>
          <w:lang w:val="es-ES_tradnl"/>
        </w:rPr>
      </w:pPr>
    </w:p>
    <w:p w:rsidR="00C468FD" w:rsidRPr="002E7532" w:rsidRDefault="00C468FD" w:rsidP="00EB6948">
      <w:pPr>
        <w:autoSpaceDE w:val="0"/>
        <w:autoSpaceDN w:val="0"/>
        <w:adjustRightInd w:val="0"/>
        <w:jc w:val="both"/>
        <w:rPr>
          <w:rFonts w:ascii="Arial" w:hAnsi="Arial" w:cs="Arial"/>
          <w:lang w:val="es-ES_tradnl"/>
        </w:rPr>
      </w:pPr>
      <w:r w:rsidRPr="00C468FD">
        <w:rPr>
          <w:rFonts w:ascii="Arial" w:hAnsi="Arial" w:cs="Arial"/>
          <w:lang w:val="es-ES_tradnl"/>
        </w:rPr>
        <w:t>En relación con este incumplimiento, con fecha 21 de diciembre de 2015 las entidades financieras aprobaron dispensar el cumplimiento de los referidos ratios financieros para el ejercicio 2015 por completo y hasta el 30 de marzo de 2016 y se revisaron los ratios e</w:t>
      </w:r>
      <w:r w:rsidR="00EB6948">
        <w:rPr>
          <w:rFonts w:ascii="Arial" w:hAnsi="Arial" w:cs="Arial"/>
          <w:lang w:val="es-ES_tradnl"/>
        </w:rPr>
        <w:t xml:space="preserve">xigidos para el ejercicio 2016. </w:t>
      </w:r>
      <w:r w:rsidR="002E7532">
        <w:rPr>
          <w:rFonts w:ascii="Arial" w:hAnsi="Arial" w:cs="Arial"/>
          <w:lang w:val="es-ES_tradnl"/>
        </w:rPr>
        <w:t>Posteriormente, c</w:t>
      </w:r>
      <w:r w:rsidRPr="002E7532">
        <w:rPr>
          <w:rFonts w:ascii="Arial" w:hAnsi="Arial" w:cs="Arial"/>
          <w:lang w:val="es-ES_tradnl"/>
        </w:rPr>
        <w:t>onforme se indica en el Hecho Relevante publicado el 28 de abril de 2016, Adveo Group International, S.A. recibió por parte de las entidades prestamistas de la mencionada financiación sindicada una dispensa del cumplimiento de los ratios financieros previstos en dicho contrato, acomodándolos a la situación de la compañía hasta el 31 de diciembre de 2016.</w:t>
      </w:r>
    </w:p>
    <w:p w:rsidR="00C468FD" w:rsidRPr="002E7532" w:rsidRDefault="00C468FD" w:rsidP="00C468FD">
      <w:pPr>
        <w:ind w:left="426"/>
        <w:jc w:val="both"/>
        <w:rPr>
          <w:rFonts w:ascii="Arial" w:hAnsi="Arial" w:cs="Arial"/>
          <w:lang w:val="es-ES_tradnl"/>
        </w:rPr>
      </w:pPr>
    </w:p>
    <w:p w:rsidR="00C468FD" w:rsidRPr="002E7532" w:rsidRDefault="00C468FD" w:rsidP="002E7532">
      <w:pPr>
        <w:jc w:val="both"/>
        <w:rPr>
          <w:rFonts w:ascii="Arial" w:hAnsi="Arial" w:cs="Arial"/>
          <w:lang w:val="es-ES_tradnl"/>
        </w:rPr>
      </w:pPr>
      <w:r w:rsidRPr="002E7532">
        <w:rPr>
          <w:rFonts w:ascii="Arial" w:hAnsi="Arial" w:cs="Arial"/>
          <w:lang w:val="es-ES_tradnl"/>
        </w:rPr>
        <w:t>Dicha dispensa no implica cambios en las condiciones generales, quedando el calendario de amortización de la financiación sindicada  inalterado respecto del Contrato original firmado el 27 de Enero de 2015, salvo una amortización extraordinaria acordada con la</w:t>
      </w:r>
      <w:r w:rsidR="00DA5026">
        <w:rPr>
          <w:rFonts w:ascii="Arial" w:hAnsi="Arial" w:cs="Arial"/>
          <w:lang w:val="es-ES_tradnl"/>
        </w:rPr>
        <w:t>s Entidades Participantes de 4 m</w:t>
      </w:r>
      <w:r w:rsidRPr="002E7532">
        <w:rPr>
          <w:rFonts w:ascii="Arial" w:hAnsi="Arial" w:cs="Arial"/>
          <w:lang w:val="es-ES_tradnl"/>
        </w:rPr>
        <w:t>illones de</w:t>
      </w:r>
      <w:r w:rsidR="002D7612">
        <w:rPr>
          <w:rFonts w:ascii="Arial" w:hAnsi="Arial" w:cs="Arial"/>
          <w:lang w:val="es-ES_tradnl"/>
        </w:rPr>
        <w:t xml:space="preserve"> euros.</w:t>
      </w:r>
    </w:p>
    <w:p w:rsidR="00C468FD" w:rsidRPr="002E7532" w:rsidRDefault="00C468FD" w:rsidP="002E7532">
      <w:pPr>
        <w:ind w:left="426"/>
        <w:jc w:val="both"/>
        <w:rPr>
          <w:rFonts w:ascii="Arial" w:hAnsi="Arial" w:cs="Arial"/>
          <w:lang w:val="es-ES_tradnl"/>
        </w:rPr>
      </w:pPr>
    </w:p>
    <w:p w:rsidR="00C468FD" w:rsidRPr="002E7532" w:rsidRDefault="00C468FD" w:rsidP="002E7532">
      <w:pPr>
        <w:jc w:val="both"/>
        <w:rPr>
          <w:rFonts w:ascii="Arial" w:hAnsi="Arial" w:cs="Arial"/>
          <w:lang w:val="es-ES_tradnl"/>
        </w:rPr>
      </w:pPr>
      <w:r w:rsidRPr="002E7532">
        <w:rPr>
          <w:rFonts w:ascii="Arial" w:hAnsi="Arial" w:cs="Arial"/>
          <w:lang w:val="es-ES_tradnl"/>
        </w:rPr>
        <w:t>Los nuevos niveles de cumplimiento acordados de dichos ratios financieros, para una ampliación de capital inferior a 30 millones de euros, son los siguientes:</w:t>
      </w:r>
    </w:p>
    <w:p w:rsidR="00C468FD" w:rsidRPr="00C468FD" w:rsidRDefault="00C468FD" w:rsidP="00C468FD">
      <w:pPr>
        <w:rPr>
          <w:rFonts w:ascii="Arial" w:hAnsi="Arial" w:cs="Arial"/>
          <w:bCs/>
          <w:color w:val="0070C0"/>
          <w:sz w:val="20"/>
          <w:szCs w:val="20"/>
          <w:lang w:val="es-ES"/>
        </w:rPr>
      </w:pPr>
    </w:p>
    <w:tbl>
      <w:tblPr>
        <w:tblStyle w:val="TableGrid"/>
        <w:tblW w:w="5000" w:type="pct"/>
        <w:tblLook w:val="04A0" w:firstRow="1" w:lastRow="0" w:firstColumn="1" w:lastColumn="0" w:noHBand="0" w:noVBand="1"/>
      </w:tblPr>
      <w:tblGrid>
        <w:gridCol w:w="6294"/>
        <w:gridCol w:w="2235"/>
      </w:tblGrid>
      <w:tr w:rsidR="00C468FD" w:rsidRPr="002E7532" w:rsidTr="002E7532">
        <w:tc>
          <w:tcPr>
            <w:tcW w:w="3690" w:type="pct"/>
            <w:shd w:val="clear" w:color="auto" w:fill="D9D9D9" w:themeFill="background1" w:themeFillShade="D9"/>
          </w:tcPr>
          <w:p w:rsidR="00C468FD" w:rsidRPr="002E7532" w:rsidRDefault="00C468FD" w:rsidP="00C468FD">
            <w:pPr>
              <w:jc w:val="both"/>
              <w:rPr>
                <w:rFonts w:ascii="Arial" w:hAnsi="Arial" w:cs="Arial"/>
                <w:b/>
                <w:bCs/>
                <w:color w:val="0070C0"/>
                <w:sz w:val="22"/>
                <w:szCs w:val="22"/>
                <w:lang w:val="es-ES"/>
              </w:rPr>
            </w:pPr>
          </w:p>
        </w:tc>
        <w:tc>
          <w:tcPr>
            <w:tcW w:w="1310" w:type="pct"/>
            <w:shd w:val="clear" w:color="auto" w:fill="D9D9D9" w:themeFill="background1" w:themeFillShade="D9"/>
          </w:tcPr>
          <w:p w:rsidR="00C468FD" w:rsidRPr="002E7532" w:rsidRDefault="00C468FD" w:rsidP="00C468FD">
            <w:pPr>
              <w:jc w:val="center"/>
              <w:rPr>
                <w:rFonts w:ascii="Arial" w:hAnsi="Arial" w:cs="Arial"/>
                <w:b/>
                <w:bCs/>
                <w:color w:val="0070C0"/>
                <w:sz w:val="22"/>
                <w:szCs w:val="22"/>
              </w:rPr>
            </w:pPr>
            <w:r w:rsidRPr="002E7532">
              <w:rPr>
                <w:rFonts w:ascii="Arial" w:hAnsi="Arial" w:cs="Arial"/>
                <w:b/>
                <w:bCs/>
                <w:color w:val="0070C0"/>
                <w:sz w:val="22"/>
                <w:szCs w:val="22"/>
              </w:rPr>
              <w:t>Ratios 31/12/16</w:t>
            </w:r>
          </w:p>
        </w:tc>
      </w:tr>
      <w:tr w:rsidR="00C468FD" w:rsidRPr="002E7532" w:rsidTr="002E7532">
        <w:tc>
          <w:tcPr>
            <w:tcW w:w="3690" w:type="pct"/>
          </w:tcPr>
          <w:p w:rsidR="00C468FD" w:rsidRPr="002E7532" w:rsidRDefault="00C468FD" w:rsidP="00C468FD">
            <w:pPr>
              <w:jc w:val="both"/>
              <w:rPr>
                <w:rFonts w:ascii="Arial" w:hAnsi="Arial" w:cs="Arial"/>
                <w:bCs/>
                <w:color w:val="0070C0"/>
                <w:sz w:val="22"/>
                <w:szCs w:val="22"/>
              </w:rPr>
            </w:pPr>
            <w:proofErr w:type="spellStart"/>
            <w:r w:rsidRPr="002E7532">
              <w:rPr>
                <w:rFonts w:ascii="Arial" w:hAnsi="Arial" w:cs="Arial"/>
                <w:bCs/>
                <w:color w:val="0070C0"/>
                <w:sz w:val="22"/>
                <w:szCs w:val="22"/>
              </w:rPr>
              <w:t>Deuda</w:t>
            </w:r>
            <w:proofErr w:type="spellEnd"/>
            <w:r w:rsidRPr="002E7532">
              <w:rPr>
                <w:rFonts w:ascii="Arial" w:hAnsi="Arial" w:cs="Arial"/>
                <w:bCs/>
                <w:color w:val="0070C0"/>
                <w:sz w:val="22"/>
                <w:szCs w:val="22"/>
              </w:rPr>
              <w:t xml:space="preserve"> </w:t>
            </w:r>
            <w:proofErr w:type="spellStart"/>
            <w:r w:rsidRPr="002E7532">
              <w:rPr>
                <w:rFonts w:ascii="Arial" w:hAnsi="Arial" w:cs="Arial"/>
                <w:bCs/>
                <w:color w:val="0070C0"/>
                <w:sz w:val="22"/>
                <w:szCs w:val="22"/>
              </w:rPr>
              <w:t>Financiera</w:t>
            </w:r>
            <w:proofErr w:type="spellEnd"/>
            <w:r w:rsidRPr="002E7532">
              <w:rPr>
                <w:rFonts w:ascii="Arial" w:hAnsi="Arial" w:cs="Arial"/>
                <w:bCs/>
                <w:color w:val="0070C0"/>
                <w:sz w:val="22"/>
                <w:szCs w:val="22"/>
              </w:rPr>
              <w:t xml:space="preserve"> </w:t>
            </w:r>
            <w:proofErr w:type="spellStart"/>
            <w:r w:rsidRPr="002E7532">
              <w:rPr>
                <w:rFonts w:ascii="Arial" w:hAnsi="Arial" w:cs="Arial"/>
                <w:bCs/>
                <w:color w:val="0070C0"/>
                <w:sz w:val="22"/>
                <w:szCs w:val="22"/>
              </w:rPr>
              <w:t>Neta</w:t>
            </w:r>
            <w:proofErr w:type="spellEnd"/>
            <w:r w:rsidRPr="002E7532">
              <w:rPr>
                <w:rFonts w:ascii="Arial" w:hAnsi="Arial" w:cs="Arial"/>
                <w:bCs/>
                <w:color w:val="0070C0"/>
                <w:sz w:val="22"/>
                <w:szCs w:val="22"/>
              </w:rPr>
              <w:t xml:space="preserve"> / EBITDA</w:t>
            </w:r>
          </w:p>
        </w:tc>
        <w:tc>
          <w:tcPr>
            <w:tcW w:w="1310" w:type="pct"/>
          </w:tcPr>
          <w:p w:rsidR="00C468FD" w:rsidRPr="002E7532" w:rsidRDefault="00C468FD" w:rsidP="00C468FD">
            <w:pPr>
              <w:jc w:val="center"/>
              <w:rPr>
                <w:rFonts w:ascii="Arial" w:hAnsi="Arial" w:cs="Arial"/>
                <w:bCs/>
                <w:color w:val="0070C0"/>
                <w:sz w:val="22"/>
                <w:szCs w:val="22"/>
              </w:rPr>
            </w:pPr>
            <w:r w:rsidRPr="002E7532">
              <w:rPr>
                <w:rFonts w:ascii="Arial" w:hAnsi="Arial" w:cs="Arial"/>
                <w:bCs/>
                <w:color w:val="0070C0"/>
                <w:sz w:val="22"/>
                <w:szCs w:val="22"/>
              </w:rPr>
              <w:t>&lt;4,0x</w:t>
            </w:r>
          </w:p>
        </w:tc>
      </w:tr>
      <w:tr w:rsidR="00C468FD" w:rsidRPr="002E7532" w:rsidTr="002E7532">
        <w:tc>
          <w:tcPr>
            <w:tcW w:w="3690" w:type="pct"/>
          </w:tcPr>
          <w:p w:rsidR="00C468FD" w:rsidRPr="002E7532" w:rsidRDefault="00C468FD" w:rsidP="00C468FD">
            <w:pPr>
              <w:jc w:val="both"/>
              <w:rPr>
                <w:rFonts w:ascii="Arial" w:hAnsi="Arial" w:cs="Arial"/>
                <w:bCs/>
                <w:color w:val="0070C0"/>
                <w:sz w:val="22"/>
                <w:szCs w:val="22"/>
                <w:lang w:val="es-ES"/>
              </w:rPr>
            </w:pPr>
            <w:r w:rsidRPr="002E7532">
              <w:rPr>
                <w:rFonts w:ascii="Arial" w:hAnsi="Arial" w:cs="Arial"/>
                <w:bCs/>
                <w:color w:val="0070C0"/>
                <w:sz w:val="22"/>
                <w:szCs w:val="22"/>
                <w:lang w:val="es-ES"/>
              </w:rPr>
              <w:t>(Deuda Financiera Neta+ Factoring) / EBITDA</w:t>
            </w:r>
          </w:p>
        </w:tc>
        <w:tc>
          <w:tcPr>
            <w:tcW w:w="1310" w:type="pct"/>
          </w:tcPr>
          <w:p w:rsidR="00C468FD" w:rsidRPr="002E7532" w:rsidRDefault="00C468FD" w:rsidP="00C468FD">
            <w:pPr>
              <w:jc w:val="center"/>
              <w:rPr>
                <w:rFonts w:ascii="Arial" w:hAnsi="Arial" w:cs="Arial"/>
                <w:bCs/>
                <w:color w:val="0070C0"/>
                <w:sz w:val="22"/>
                <w:szCs w:val="22"/>
              </w:rPr>
            </w:pPr>
            <w:r w:rsidRPr="002E7532">
              <w:rPr>
                <w:rFonts w:ascii="Arial" w:hAnsi="Arial" w:cs="Arial"/>
                <w:bCs/>
                <w:color w:val="0070C0"/>
                <w:sz w:val="22"/>
                <w:szCs w:val="22"/>
              </w:rPr>
              <w:t>&lt;7,0x</w:t>
            </w:r>
          </w:p>
        </w:tc>
      </w:tr>
      <w:tr w:rsidR="00C468FD" w:rsidRPr="002E7532" w:rsidTr="002E7532">
        <w:tc>
          <w:tcPr>
            <w:tcW w:w="3690" w:type="pct"/>
          </w:tcPr>
          <w:p w:rsidR="00C468FD" w:rsidRPr="002E7532" w:rsidRDefault="00C468FD" w:rsidP="00C468FD">
            <w:pPr>
              <w:jc w:val="both"/>
              <w:rPr>
                <w:rFonts w:ascii="Arial" w:hAnsi="Arial" w:cs="Arial"/>
                <w:bCs/>
                <w:color w:val="0070C0"/>
                <w:sz w:val="22"/>
                <w:szCs w:val="22"/>
              </w:rPr>
            </w:pPr>
            <w:r w:rsidRPr="002E7532">
              <w:rPr>
                <w:rFonts w:ascii="Arial" w:hAnsi="Arial" w:cs="Arial"/>
                <w:bCs/>
                <w:color w:val="0070C0"/>
                <w:sz w:val="22"/>
                <w:szCs w:val="22"/>
              </w:rPr>
              <w:t xml:space="preserve">EBITDA / </w:t>
            </w:r>
            <w:proofErr w:type="spellStart"/>
            <w:r w:rsidRPr="002E7532">
              <w:rPr>
                <w:rFonts w:ascii="Arial" w:hAnsi="Arial" w:cs="Arial"/>
                <w:bCs/>
                <w:color w:val="0070C0"/>
                <w:sz w:val="22"/>
                <w:szCs w:val="22"/>
              </w:rPr>
              <w:t>Resultado</w:t>
            </w:r>
            <w:proofErr w:type="spellEnd"/>
            <w:r w:rsidRPr="002E7532">
              <w:rPr>
                <w:rFonts w:ascii="Arial" w:hAnsi="Arial" w:cs="Arial"/>
                <w:bCs/>
                <w:color w:val="0070C0"/>
                <w:sz w:val="22"/>
                <w:szCs w:val="22"/>
              </w:rPr>
              <w:t xml:space="preserve"> </w:t>
            </w:r>
            <w:proofErr w:type="spellStart"/>
            <w:r w:rsidRPr="002E7532">
              <w:rPr>
                <w:rFonts w:ascii="Arial" w:hAnsi="Arial" w:cs="Arial"/>
                <w:bCs/>
                <w:color w:val="0070C0"/>
                <w:sz w:val="22"/>
                <w:szCs w:val="22"/>
              </w:rPr>
              <w:t>Financiero</w:t>
            </w:r>
            <w:proofErr w:type="spellEnd"/>
            <w:r w:rsidRPr="002E7532">
              <w:rPr>
                <w:rFonts w:ascii="Arial" w:hAnsi="Arial" w:cs="Arial"/>
                <w:bCs/>
                <w:color w:val="0070C0"/>
                <w:sz w:val="22"/>
                <w:szCs w:val="22"/>
              </w:rPr>
              <w:t xml:space="preserve"> </w:t>
            </w:r>
            <w:proofErr w:type="spellStart"/>
            <w:r w:rsidRPr="002E7532">
              <w:rPr>
                <w:rFonts w:ascii="Arial" w:hAnsi="Arial" w:cs="Arial"/>
                <w:bCs/>
                <w:color w:val="0070C0"/>
                <w:sz w:val="22"/>
                <w:szCs w:val="22"/>
              </w:rPr>
              <w:t>neto</w:t>
            </w:r>
            <w:proofErr w:type="spellEnd"/>
          </w:p>
        </w:tc>
        <w:tc>
          <w:tcPr>
            <w:tcW w:w="1310" w:type="pct"/>
          </w:tcPr>
          <w:p w:rsidR="00C468FD" w:rsidRPr="002E7532" w:rsidRDefault="00C468FD" w:rsidP="00C468FD">
            <w:pPr>
              <w:jc w:val="center"/>
              <w:rPr>
                <w:rFonts w:ascii="Arial" w:hAnsi="Arial" w:cs="Arial"/>
                <w:bCs/>
                <w:color w:val="0070C0"/>
                <w:sz w:val="22"/>
                <w:szCs w:val="22"/>
              </w:rPr>
            </w:pPr>
            <w:r w:rsidRPr="002E7532">
              <w:rPr>
                <w:rFonts w:ascii="Arial" w:hAnsi="Arial" w:cs="Arial"/>
                <w:bCs/>
                <w:color w:val="0070C0"/>
                <w:sz w:val="22"/>
                <w:szCs w:val="22"/>
              </w:rPr>
              <w:t>&gt;3.0x</w:t>
            </w:r>
          </w:p>
        </w:tc>
      </w:tr>
      <w:tr w:rsidR="00C468FD" w:rsidRPr="002E7532" w:rsidTr="002E7532">
        <w:tc>
          <w:tcPr>
            <w:tcW w:w="3690" w:type="pct"/>
          </w:tcPr>
          <w:p w:rsidR="00C468FD" w:rsidRPr="002E7532" w:rsidRDefault="00C468FD" w:rsidP="00C468FD">
            <w:pPr>
              <w:jc w:val="both"/>
              <w:rPr>
                <w:rFonts w:ascii="Arial" w:hAnsi="Arial" w:cs="Arial"/>
                <w:bCs/>
                <w:color w:val="0070C0"/>
                <w:sz w:val="22"/>
                <w:szCs w:val="22"/>
                <w:lang w:val="es-ES"/>
              </w:rPr>
            </w:pPr>
            <w:r w:rsidRPr="002E7532">
              <w:rPr>
                <w:rFonts w:ascii="Arial" w:hAnsi="Arial" w:cs="Arial"/>
                <w:bCs/>
                <w:color w:val="0070C0"/>
                <w:sz w:val="22"/>
                <w:szCs w:val="22"/>
                <w:lang w:val="es-ES"/>
              </w:rPr>
              <w:t>Deuda Financiera Neta / Patrimonio Neto</w:t>
            </w:r>
          </w:p>
        </w:tc>
        <w:tc>
          <w:tcPr>
            <w:tcW w:w="1310" w:type="pct"/>
          </w:tcPr>
          <w:p w:rsidR="00C468FD" w:rsidRPr="002E7532" w:rsidRDefault="00C468FD" w:rsidP="00C468FD">
            <w:pPr>
              <w:jc w:val="center"/>
              <w:rPr>
                <w:rFonts w:ascii="Arial" w:hAnsi="Arial" w:cs="Arial"/>
                <w:bCs/>
                <w:color w:val="0070C0"/>
                <w:sz w:val="22"/>
                <w:szCs w:val="22"/>
              </w:rPr>
            </w:pPr>
            <w:r w:rsidRPr="002E7532">
              <w:rPr>
                <w:rFonts w:ascii="Arial" w:hAnsi="Arial" w:cs="Arial"/>
                <w:bCs/>
                <w:color w:val="0070C0"/>
                <w:sz w:val="22"/>
                <w:szCs w:val="22"/>
              </w:rPr>
              <w:t>&lt;1,5x</w:t>
            </w:r>
          </w:p>
        </w:tc>
      </w:tr>
    </w:tbl>
    <w:p w:rsidR="00C468FD" w:rsidRPr="002E7532" w:rsidRDefault="00C468FD" w:rsidP="002E7532">
      <w:pPr>
        <w:jc w:val="both"/>
        <w:rPr>
          <w:rFonts w:ascii="Arial" w:hAnsi="Arial" w:cs="Arial"/>
          <w:lang w:val="es-ES_tradnl"/>
        </w:rPr>
      </w:pPr>
    </w:p>
    <w:p w:rsidR="00C468FD" w:rsidRPr="002E7532" w:rsidRDefault="00C468FD" w:rsidP="002E7532">
      <w:pPr>
        <w:jc w:val="both"/>
        <w:rPr>
          <w:rFonts w:ascii="Arial" w:hAnsi="Arial" w:cs="Arial"/>
          <w:lang w:val="es-ES_tradnl"/>
        </w:rPr>
      </w:pPr>
      <w:r w:rsidRPr="002E7532">
        <w:rPr>
          <w:rFonts w:ascii="Arial" w:hAnsi="Arial" w:cs="Arial"/>
          <w:lang w:val="es-ES_tradnl"/>
        </w:rPr>
        <w:t>No han sido solicitadas garantías adicionales a las existentes en contrato inicial.</w:t>
      </w:r>
    </w:p>
    <w:p w:rsidR="002E7532" w:rsidRDefault="002E7532" w:rsidP="002E7532">
      <w:pPr>
        <w:autoSpaceDE w:val="0"/>
        <w:autoSpaceDN w:val="0"/>
        <w:adjustRightInd w:val="0"/>
        <w:jc w:val="both"/>
        <w:rPr>
          <w:rFonts w:ascii="Arial" w:hAnsi="Arial" w:cs="Arial"/>
          <w:lang w:val="es-ES_tradnl"/>
        </w:rPr>
      </w:pPr>
    </w:p>
    <w:p w:rsidR="002E7532" w:rsidRDefault="002E7532" w:rsidP="002E7532">
      <w:pPr>
        <w:autoSpaceDE w:val="0"/>
        <w:autoSpaceDN w:val="0"/>
        <w:adjustRightInd w:val="0"/>
        <w:jc w:val="both"/>
        <w:rPr>
          <w:rFonts w:ascii="Arial" w:hAnsi="Arial" w:cs="Arial"/>
          <w:lang w:val="es-ES_tradnl"/>
        </w:rPr>
      </w:pPr>
      <w:r>
        <w:rPr>
          <w:rFonts w:ascii="Arial" w:hAnsi="Arial" w:cs="Arial"/>
          <w:lang w:val="es-ES_tradnl"/>
        </w:rPr>
        <w:t>Durante el primer semestre del ejercicio 2016 no se han producido disposiciones ni amortizaciones de la financiación a largo plazo del Grupo Adveo.</w:t>
      </w:r>
    </w:p>
    <w:p w:rsidR="002E7532" w:rsidRDefault="002E7532" w:rsidP="002E7532">
      <w:pPr>
        <w:autoSpaceDE w:val="0"/>
        <w:autoSpaceDN w:val="0"/>
        <w:adjustRightInd w:val="0"/>
        <w:jc w:val="both"/>
        <w:rPr>
          <w:rFonts w:ascii="Arial" w:hAnsi="Arial" w:cs="Arial"/>
          <w:lang w:val="es-ES_tradnl"/>
        </w:rPr>
      </w:pPr>
    </w:p>
    <w:p w:rsidR="00C468FD" w:rsidRPr="002E7532" w:rsidRDefault="002E7532" w:rsidP="002E7532">
      <w:pPr>
        <w:autoSpaceDE w:val="0"/>
        <w:autoSpaceDN w:val="0"/>
        <w:adjustRightInd w:val="0"/>
        <w:jc w:val="both"/>
        <w:rPr>
          <w:rFonts w:ascii="Arial" w:hAnsi="Arial" w:cs="Arial"/>
          <w:lang w:val="es-ES_tradnl"/>
        </w:rPr>
      </w:pPr>
      <w:r>
        <w:rPr>
          <w:rFonts w:ascii="Arial" w:hAnsi="Arial" w:cs="Arial"/>
          <w:lang w:val="es-ES_tradnl"/>
        </w:rPr>
        <w:t xml:space="preserve">Por su parte, con fecha 7 de junio de 2016 se publicó un Folleto Informativo para una Ampliación de Capital que, </w:t>
      </w:r>
      <w:r w:rsidRPr="002E7532">
        <w:rPr>
          <w:rFonts w:ascii="Arial" w:hAnsi="Arial" w:cs="Arial"/>
          <w:lang w:val="es-ES_tradnl"/>
        </w:rPr>
        <w:t>c</w:t>
      </w:r>
      <w:r w:rsidR="00C468FD" w:rsidRPr="002E7532">
        <w:rPr>
          <w:rFonts w:ascii="Arial" w:hAnsi="Arial" w:cs="Arial"/>
          <w:lang w:val="es-ES_tradnl"/>
        </w:rPr>
        <w:t xml:space="preserve">onforme se indica en el Hecho Relevante publicado el 15 de julio de 2016, </w:t>
      </w:r>
      <w:r w:rsidR="00DA5026">
        <w:rPr>
          <w:rFonts w:ascii="Arial" w:hAnsi="Arial" w:cs="Arial"/>
          <w:lang w:val="es-ES_tradnl"/>
        </w:rPr>
        <w:t>finalizó</w:t>
      </w:r>
      <w:r w:rsidRPr="002E7532">
        <w:rPr>
          <w:rFonts w:ascii="Arial" w:hAnsi="Arial" w:cs="Arial"/>
          <w:lang w:val="es-ES_tradnl"/>
        </w:rPr>
        <w:t xml:space="preserve"> en dicha fecha</w:t>
      </w:r>
      <w:r w:rsidR="00C468FD" w:rsidRPr="002E7532">
        <w:rPr>
          <w:rFonts w:ascii="Arial" w:hAnsi="Arial" w:cs="Arial"/>
          <w:lang w:val="es-ES_tradnl"/>
        </w:rPr>
        <w:t xml:space="preserve">, quedando suscritas 8.491.352 acciones por un importe efectivo total de 27.596.894 euros, que fueron desembolsadas con fecha 19 de julio de 2016. </w:t>
      </w:r>
    </w:p>
    <w:p w:rsidR="00C468FD" w:rsidRPr="002E7532" w:rsidRDefault="00C468FD" w:rsidP="002E7532">
      <w:pPr>
        <w:autoSpaceDE w:val="0"/>
        <w:autoSpaceDN w:val="0"/>
        <w:adjustRightInd w:val="0"/>
        <w:jc w:val="both"/>
        <w:rPr>
          <w:rFonts w:ascii="Arial" w:hAnsi="Arial" w:cs="Arial"/>
          <w:lang w:val="es-ES_tradnl"/>
        </w:rPr>
      </w:pPr>
    </w:p>
    <w:p w:rsidR="00D65578" w:rsidRPr="004944F1" w:rsidRDefault="00D65578" w:rsidP="002E7532">
      <w:pPr>
        <w:autoSpaceDE w:val="0"/>
        <w:autoSpaceDN w:val="0"/>
        <w:adjustRightInd w:val="0"/>
        <w:jc w:val="both"/>
        <w:rPr>
          <w:rFonts w:ascii="Arial" w:hAnsi="Arial" w:cs="Arial"/>
          <w:lang w:val="es-ES_tradnl"/>
        </w:rPr>
      </w:pPr>
      <w:r w:rsidRPr="00D65578">
        <w:rPr>
          <w:rFonts w:ascii="Arial" w:hAnsi="Arial" w:cs="Arial"/>
          <w:lang w:val="es-ES_tradnl"/>
        </w:rPr>
        <w:t>Adicionalmente, conforme se indica en el Hecho Relevante publicado el 6 de julio de 2016, se ha formalizado el contrato de venta de determinados stocks de productos digitales con la sociedad WestCoast, Ltd. Conforme se indica en el Hecho Relevante publicado el 26 de agosto de 2016 las partes han firmado el cierre de la operación, por un importe final de</w:t>
      </w:r>
      <w:r w:rsidRPr="004944F1">
        <w:rPr>
          <w:rFonts w:ascii="Arial" w:hAnsi="Arial" w:cs="Arial"/>
          <w:lang w:val="es-ES_tradnl"/>
        </w:rPr>
        <w:t xml:space="preserve"> 29.458 miles de euros.</w:t>
      </w:r>
    </w:p>
    <w:p w:rsidR="00C468FD" w:rsidRPr="002E7532" w:rsidRDefault="00C468FD" w:rsidP="002E7532">
      <w:pPr>
        <w:autoSpaceDE w:val="0"/>
        <w:autoSpaceDN w:val="0"/>
        <w:adjustRightInd w:val="0"/>
        <w:jc w:val="both"/>
        <w:rPr>
          <w:rFonts w:ascii="Arial" w:hAnsi="Arial" w:cs="Arial"/>
          <w:lang w:val="es-ES_tradnl"/>
        </w:rPr>
      </w:pPr>
    </w:p>
    <w:p w:rsidR="003C2A84" w:rsidRDefault="00C468FD" w:rsidP="002E7532">
      <w:pPr>
        <w:autoSpaceDE w:val="0"/>
        <w:autoSpaceDN w:val="0"/>
        <w:adjustRightInd w:val="0"/>
        <w:jc w:val="both"/>
        <w:rPr>
          <w:rFonts w:ascii="Arial" w:hAnsi="Arial" w:cs="Arial"/>
          <w:lang w:val="es-ES_tradnl"/>
        </w:rPr>
      </w:pPr>
      <w:r w:rsidRPr="002E7532">
        <w:rPr>
          <w:rFonts w:ascii="Arial" w:hAnsi="Arial" w:cs="Arial"/>
          <w:lang w:val="es-ES_tradnl"/>
        </w:rPr>
        <w:t xml:space="preserve">La suma de ambos hechos ha aportado al Grupo Adveo liquidez por importe de </w:t>
      </w:r>
      <w:r w:rsidR="00C37A00">
        <w:rPr>
          <w:rFonts w:ascii="Arial" w:hAnsi="Arial" w:cs="Arial"/>
          <w:lang w:val="es-ES_tradnl"/>
        </w:rPr>
        <w:t>56</w:t>
      </w:r>
      <w:r w:rsidRPr="002E7532">
        <w:rPr>
          <w:rFonts w:ascii="Arial" w:hAnsi="Arial" w:cs="Arial"/>
          <w:lang w:val="es-ES_tradnl"/>
        </w:rPr>
        <w:t xml:space="preserve"> millones de euros, </w:t>
      </w:r>
      <w:r w:rsidR="00C37A00">
        <w:rPr>
          <w:rFonts w:ascii="Arial" w:hAnsi="Arial" w:cs="Arial"/>
          <w:lang w:val="es-ES_tradnl"/>
        </w:rPr>
        <w:t>y están pendientes de monetizarse Cuentas a Cobrar de esta actividad por aproximadamente 7 millones de euros adicionales. Todo ello</w:t>
      </w:r>
      <w:r w:rsidRPr="002E7532">
        <w:rPr>
          <w:rFonts w:ascii="Arial" w:hAnsi="Arial" w:cs="Arial"/>
          <w:lang w:val="es-ES_tradnl"/>
        </w:rPr>
        <w:t xml:space="preserve"> ha permitido una fuerte re</w:t>
      </w:r>
      <w:r w:rsidR="002E7532" w:rsidRPr="002E7532">
        <w:rPr>
          <w:rFonts w:ascii="Arial" w:hAnsi="Arial" w:cs="Arial"/>
          <w:lang w:val="es-ES_tradnl"/>
        </w:rPr>
        <w:t>ducción de la Deuda Financiera, conforme a este detalle:</w:t>
      </w:r>
    </w:p>
    <w:p w:rsidR="003C2A84" w:rsidRDefault="003C2A84">
      <w:pPr>
        <w:spacing w:after="200" w:line="276" w:lineRule="auto"/>
        <w:rPr>
          <w:rFonts w:ascii="Arial" w:hAnsi="Arial" w:cs="Arial"/>
          <w:lang w:val="es-ES_tradnl"/>
        </w:rPr>
      </w:pPr>
      <w:r>
        <w:rPr>
          <w:rFonts w:ascii="Arial" w:hAnsi="Arial" w:cs="Arial"/>
          <w:lang w:val="es-ES_tradnl"/>
        </w:rPr>
        <w:br w:type="page"/>
      </w:r>
    </w:p>
    <w:p w:rsidR="00C468FD" w:rsidRPr="002E7532" w:rsidRDefault="00C468FD" w:rsidP="002E7532">
      <w:pPr>
        <w:autoSpaceDE w:val="0"/>
        <w:autoSpaceDN w:val="0"/>
        <w:adjustRightInd w:val="0"/>
        <w:jc w:val="both"/>
        <w:rPr>
          <w:rFonts w:ascii="Arial" w:hAnsi="Arial" w:cs="Arial"/>
          <w:lang w:val="es-ES_tradnl"/>
        </w:rPr>
      </w:pPr>
    </w:p>
    <w:tbl>
      <w:tblPr>
        <w:tblW w:w="5000" w:type="pct"/>
        <w:tblLook w:val="04A0" w:firstRow="1" w:lastRow="0" w:firstColumn="1" w:lastColumn="0" w:noHBand="0" w:noVBand="1"/>
      </w:tblPr>
      <w:tblGrid>
        <w:gridCol w:w="3339"/>
        <w:gridCol w:w="1194"/>
        <w:gridCol w:w="1170"/>
        <w:gridCol w:w="1194"/>
        <w:gridCol w:w="1632"/>
      </w:tblGrid>
      <w:tr w:rsidR="002E7532" w:rsidRPr="00A82E09" w:rsidTr="00D65578">
        <w:trPr>
          <w:trHeight w:val="300"/>
        </w:trPr>
        <w:tc>
          <w:tcPr>
            <w:tcW w:w="1957" w:type="pct"/>
            <w:tcBorders>
              <w:top w:val="nil"/>
              <w:left w:val="nil"/>
              <w:bottom w:val="nil"/>
              <w:right w:val="nil"/>
            </w:tcBorders>
            <w:shd w:val="clear" w:color="000000" w:fill="FFFFFF"/>
            <w:noWrap/>
            <w:vAlign w:val="bottom"/>
            <w:hideMark/>
          </w:tcPr>
          <w:p w:rsidR="002E7532" w:rsidRPr="006B6123" w:rsidRDefault="002E7532" w:rsidP="002E7532">
            <w:pPr>
              <w:rPr>
                <w:rFonts w:ascii="Calibri" w:hAnsi="Calibri"/>
                <w:color w:val="000000"/>
                <w:sz w:val="22"/>
                <w:szCs w:val="22"/>
                <w:lang w:val="es-ES" w:eastAsia="en-GB"/>
              </w:rPr>
            </w:pPr>
            <w:r w:rsidRPr="006B6123">
              <w:rPr>
                <w:rFonts w:ascii="Calibri" w:hAnsi="Calibri"/>
                <w:color w:val="000000"/>
                <w:sz w:val="22"/>
                <w:szCs w:val="22"/>
                <w:lang w:val="es-ES" w:eastAsia="en-GB"/>
              </w:rPr>
              <w:t> </w:t>
            </w:r>
          </w:p>
        </w:tc>
        <w:tc>
          <w:tcPr>
            <w:tcW w:w="700" w:type="pct"/>
            <w:tcBorders>
              <w:top w:val="nil"/>
              <w:left w:val="nil"/>
              <w:bottom w:val="nil"/>
              <w:right w:val="nil"/>
            </w:tcBorders>
            <w:shd w:val="clear" w:color="000000" w:fill="FFFFFF"/>
            <w:noWrap/>
            <w:vAlign w:val="bottom"/>
            <w:hideMark/>
          </w:tcPr>
          <w:p w:rsidR="002E7532" w:rsidRPr="006B6123" w:rsidRDefault="002E7532" w:rsidP="002E7532">
            <w:pPr>
              <w:rPr>
                <w:rFonts w:ascii="Calibri" w:hAnsi="Calibri"/>
                <w:color w:val="000000"/>
                <w:sz w:val="22"/>
                <w:szCs w:val="22"/>
                <w:lang w:val="es-ES" w:eastAsia="en-GB"/>
              </w:rPr>
            </w:pPr>
            <w:r w:rsidRPr="006B6123">
              <w:rPr>
                <w:rFonts w:ascii="Calibri" w:hAnsi="Calibri"/>
                <w:color w:val="000000"/>
                <w:sz w:val="22"/>
                <w:szCs w:val="22"/>
                <w:lang w:val="es-ES" w:eastAsia="en-GB"/>
              </w:rPr>
              <w:t> </w:t>
            </w:r>
          </w:p>
        </w:tc>
        <w:tc>
          <w:tcPr>
            <w:tcW w:w="686" w:type="pct"/>
            <w:tcBorders>
              <w:top w:val="nil"/>
              <w:left w:val="nil"/>
              <w:bottom w:val="nil"/>
              <w:right w:val="nil"/>
            </w:tcBorders>
            <w:shd w:val="clear" w:color="000000" w:fill="FFFFFF"/>
            <w:noWrap/>
            <w:vAlign w:val="bottom"/>
            <w:hideMark/>
          </w:tcPr>
          <w:p w:rsidR="002E7532" w:rsidRPr="006B6123" w:rsidRDefault="002E7532" w:rsidP="002E7532">
            <w:pPr>
              <w:rPr>
                <w:rFonts w:ascii="Calibri" w:hAnsi="Calibri"/>
                <w:color w:val="000000"/>
                <w:sz w:val="22"/>
                <w:szCs w:val="22"/>
                <w:lang w:val="es-ES" w:eastAsia="en-GB"/>
              </w:rPr>
            </w:pPr>
            <w:r w:rsidRPr="006B6123">
              <w:rPr>
                <w:rFonts w:ascii="Calibri" w:hAnsi="Calibri"/>
                <w:color w:val="000000"/>
                <w:sz w:val="22"/>
                <w:szCs w:val="22"/>
                <w:lang w:val="es-ES" w:eastAsia="en-GB"/>
              </w:rPr>
              <w:t> </w:t>
            </w:r>
          </w:p>
        </w:tc>
        <w:tc>
          <w:tcPr>
            <w:tcW w:w="700" w:type="pct"/>
            <w:tcBorders>
              <w:top w:val="nil"/>
              <w:left w:val="nil"/>
              <w:bottom w:val="nil"/>
              <w:right w:val="nil"/>
            </w:tcBorders>
            <w:shd w:val="clear" w:color="000000" w:fill="FFFFFF"/>
            <w:noWrap/>
            <w:vAlign w:val="bottom"/>
            <w:hideMark/>
          </w:tcPr>
          <w:p w:rsidR="002E7532" w:rsidRPr="006B6123" w:rsidRDefault="002E7532" w:rsidP="002E7532">
            <w:pPr>
              <w:rPr>
                <w:rFonts w:ascii="Calibri" w:hAnsi="Calibri"/>
                <w:color w:val="000000"/>
                <w:sz w:val="22"/>
                <w:szCs w:val="22"/>
                <w:lang w:val="es-ES" w:eastAsia="en-GB"/>
              </w:rPr>
            </w:pPr>
            <w:r w:rsidRPr="006B6123">
              <w:rPr>
                <w:rFonts w:ascii="Calibri" w:hAnsi="Calibri"/>
                <w:color w:val="000000"/>
                <w:sz w:val="22"/>
                <w:szCs w:val="22"/>
                <w:lang w:val="es-ES" w:eastAsia="en-GB"/>
              </w:rPr>
              <w:t> </w:t>
            </w:r>
          </w:p>
        </w:tc>
        <w:tc>
          <w:tcPr>
            <w:tcW w:w="957" w:type="pct"/>
            <w:tcBorders>
              <w:top w:val="nil"/>
              <w:left w:val="nil"/>
              <w:bottom w:val="nil"/>
              <w:right w:val="nil"/>
            </w:tcBorders>
            <w:shd w:val="clear" w:color="000000" w:fill="FFFFFF"/>
            <w:noWrap/>
            <w:vAlign w:val="bottom"/>
            <w:hideMark/>
          </w:tcPr>
          <w:p w:rsidR="002E7532" w:rsidRPr="006B6123" w:rsidRDefault="002E7532" w:rsidP="002E7532">
            <w:pPr>
              <w:rPr>
                <w:rFonts w:ascii="Calibri" w:hAnsi="Calibri"/>
                <w:color w:val="000000"/>
                <w:sz w:val="22"/>
                <w:szCs w:val="22"/>
                <w:lang w:val="es-ES" w:eastAsia="en-GB"/>
              </w:rPr>
            </w:pPr>
            <w:r w:rsidRPr="006B6123">
              <w:rPr>
                <w:rFonts w:ascii="Calibri" w:hAnsi="Calibri"/>
                <w:color w:val="000000"/>
                <w:sz w:val="22"/>
                <w:szCs w:val="22"/>
                <w:lang w:val="es-ES" w:eastAsia="en-GB"/>
              </w:rPr>
              <w:t> </w:t>
            </w:r>
          </w:p>
        </w:tc>
      </w:tr>
      <w:tr w:rsidR="002E7532" w:rsidRPr="002E7532" w:rsidTr="00D65578">
        <w:trPr>
          <w:trHeight w:val="300"/>
        </w:trPr>
        <w:tc>
          <w:tcPr>
            <w:tcW w:w="1957" w:type="pct"/>
            <w:tcBorders>
              <w:top w:val="nil"/>
              <w:left w:val="nil"/>
              <w:bottom w:val="nil"/>
              <w:right w:val="nil"/>
            </w:tcBorders>
            <w:shd w:val="clear" w:color="000000" w:fill="FFFFFF"/>
            <w:noWrap/>
            <w:vAlign w:val="bottom"/>
            <w:hideMark/>
          </w:tcPr>
          <w:p w:rsidR="002E7532" w:rsidRPr="006B6123" w:rsidRDefault="002E7532" w:rsidP="002E7532">
            <w:pPr>
              <w:rPr>
                <w:rFonts w:ascii="Calibri" w:hAnsi="Calibri"/>
                <w:color w:val="000000"/>
                <w:sz w:val="22"/>
                <w:szCs w:val="22"/>
                <w:lang w:val="es-ES" w:eastAsia="en-GB"/>
              </w:rPr>
            </w:pPr>
            <w:r w:rsidRPr="006B6123">
              <w:rPr>
                <w:rFonts w:ascii="Calibri" w:hAnsi="Calibri"/>
                <w:color w:val="000000"/>
                <w:sz w:val="22"/>
                <w:szCs w:val="22"/>
                <w:lang w:val="es-ES" w:eastAsia="en-GB"/>
              </w:rPr>
              <w:t> </w:t>
            </w:r>
          </w:p>
        </w:tc>
        <w:tc>
          <w:tcPr>
            <w:tcW w:w="2086" w:type="pct"/>
            <w:gridSpan w:val="3"/>
            <w:tcBorders>
              <w:top w:val="nil"/>
              <w:left w:val="nil"/>
              <w:bottom w:val="nil"/>
              <w:right w:val="nil"/>
            </w:tcBorders>
            <w:shd w:val="clear" w:color="000000" w:fill="FFFFFF"/>
            <w:noWrap/>
            <w:vAlign w:val="bottom"/>
            <w:hideMark/>
          </w:tcPr>
          <w:p w:rsidR="002E7532" w:rsidRPr="002E7532" w:rsidRDefault="002E7532" w:rsidP="002E7532">
            <w:pPr>
              <w:jc w:val="center"/>
              <w:rPr>
                <w:rFonts w:ascii="Calibri" w:hAnsi="Calibri"/>
                <w:color w:val="1F497D"/>
                <w:sz w:val="22"/>
                <w:szCs w:val="22"/>
                <w:lang w:val="en-GB" w:eastAsia="en-GB"/>
              </w:rPr>
            </w:pPr>
            <w:proofErr w:type="spellStart"/>
            <w:r>
              <w:rPr>
                <w:rFonts w:ascii="Calibri" w:hAnsi="Calibri"/>
                <w:color w:val="1F497D"/>
                <w:sz w:val="22"/>
                <w:szCs w:val="22"/>
                <w:lang w:val="en-GB" w:eastAsia="en-GB"/>
              </w:rPr>
              <w:t>Datos</w:t>
            </w:r>
            <w:proofErr w:type="spellEnd"/>
            <w:r>
              <w:rPr>
                <w:rFonts w:ascii="Calibri" w:hAnsi="Calibri"/>
                <w:color w:val="1F497D"/>
                <w:sz w:val="22"/>
                <w:szCs w:val="22"/>
                <w:lang w:val="en-GB" w:eastAsia="en-GB"/>
              </w:rPr>
              <w:t xml:space="preserve"> </w:t>
            </w:r>
            <w:proofErr w:type="spellStart"/>
            <w:r>
              <w:rPr>
                <w:rFonts w:ascii="Calibri" w:hAnsi="Calibri"/>
                <w:color w:val="1F497D"/>
                <w:sz w:val="22"/>
                <w:szCs w:val="22"/>
                <w:lang w:val="en-GB" w:eastAsia="en-GB"/>
              </w:rPr>
              <w:t>publicados</w:t>
            </w:r>
            <w:proofErr w:type="spellEnd"/>
          </w:p>
        </w:tc>
        <w:tc>
          <w:tcPr>
            <w:tcW w:w="957" w:type="pct"/>
            <w:tcBorders>
              <w:top w:val="nil"/>
              <w:left w:val="nil"/>
              <w:bottom w:val="nil"/>
              <w:right w:val="nil"/>
            </w:tcBorders>
            <w:shd w:val="clear" w:color="000000" w:fill="FFFFFF"/>
            <w:noWrap/>
            <w:vAlign w:val="bottom"/>
            <w:hideMark/>
          </w:tcPr>
          <w:p w:rsidR="002E7532" w:rsidRPr="002E7532" w:rsidRDefault="00D65578" w:rsidP="00D65578">
            <w:pPr>
              <w:jc w:val="center"/>
              <w:rPr>
                <w:rFonts w:ascii="Calibri" w:hAnsi="Calibri"/>
                <w:color w:val="FF0066"/>
                <w:sz w:val="22"/>
                <w:szCs w:val="22"/>
                <w:lang w:val="en-GB" w:eastAsia="en-GB"/>
              </w:rPr>
            </w:pPr>
            <w:r w:rsidRPr="002D7612">
              <w:rPr>
                <w:rFonts w:ascii="Calibri" w:hAnsi="Calibri"/>
                <w:color w:val="FF0000"/>
                <w:sz w:val="22"/>
                <w:szCs w:val="22"/>
                <w:lang w:val="en-GB" w:eastAsia="en-GB"/>
              </w:rPr>
              <w:t>(*)</w:t>
            </w:r>
          </w:p>
        </w:tc>
      </w:tr>
      <w:tr w:rsidR="002E7532" w:rsidRPr="002E7532" w:rsidTr="00D65578">
        <w:trPr>
          <w:trHeight w:val="360"/>
        </w:trPr>
        <w:tc>
          <w:tcPr>
            <w:tcW w:w="1957" w:type="pct"/>
            <w:tcBorders>
              <w:top w:val="nil"/>
              <w:left w:val="nil"/>
              <w:bottom w:val="single" w:sz="8" w:space="0" w:color="FFFFFF"/>
              <w:right w:val="single" w:sz="8" w:space="0" w:color="FFFFFF"/>
            </w:tcBorders>
            <w:shd w:val="clear" w:color="000000" w:fill="538DD5"/>
            <w:noWrap/>
            <w:vAlign w:val="center"/>
            <w:hideMark/>
          </w:tcPr>
          <w:p w:rsidR="002E7532" w:rsidRPr="00D65578" w:rsidRDefault="002E7532" w:rsidP="002E7532">
            <w:pPr>
              <w:rPr>
                <w:rFonts w:asciiTheme="minorHAnsi" w:hAnsiTheme="minorHAnsi"/>
                <w:b/>
                <w:bCs/>
                <w:color w:val="FFFFFF"/>
                <w:sz w:val="20"/>
                <w:szCs w:val="20"/>
                <w:lang w:val="en-GB" w:eastAsia="en-GB"/>
              </w:rPr>
            </w:pPr>
            <w:r w:rsidRPr="00D65578">
              <w:rPr>
                <w:rFonts w:asciiTheme="minorHAnsi" w:hAnsiTheme="minorHAnsi"/>
                <w:b/>
                <w:bCs/>
                <w:color w:val="FFFFFF"/>
                <w:sz w:val="20"/>
                <w:szCs w:val="20"/>
                <w:lang w:val="en-GB" w:eastAsia="en-GB"/>
              </w:rPr>
              <w:t>Adveo – Miles de euros</w:t>
            </w:r>
          </w:p>
        </w:tc>
        <w:tc>
          <w:tcPr>
            <w:tcW w:w="700" w:type="pct"/>
            <w:tcBorders>
              <w:top w:val="nil"/>
              <w:left w:val="nil"/>
              <w:bottom w:val="single" w:sz="8" w:space="0" w:color="FFFFFF"/>
              <w:right w:val="single" w:sz="8" w:space="0" w:color="FFFFFF"/>
            </w:tcBorders>
            <w:shd w:val="clear" w:color="000000" w:fill="538DD5"/>
            <w:noWrap/>
            <w:vAlign w:val="center"/>
            <w:hideMark/>
          </w:tcPr>
          <w:p w:rsidR="002E7532" w:rsidRPr="00D65578" w:rsidRDefault="002E7532" w:rsidP="002E7532">
            <w:pPr>
              <w:jc w:val="center"/>
              <w:rPr>
                <w:rFonts w:asciiTheme="minorHAnsi" w:hAnsiTheme="minorHAnsi"/>
                <w:b/>
                <w:bCs/>
                <w:color w:val="FFFFFF"/>
                <w:sz w:val="20"/>
                <w:szCs w:val="20"/>
                <w:lang w:val="en-GB" w:eastAsia="en-GB"/>
              </w:rPr>
            </w:pPr>
            <w:proofErr w:type="spellStart"/>
            <w:r w:rsidRPr="00D65578">
              <w:rPr>
                <w:rFonts w:asciiTheme="minorHAnsi" w:hAnsiTheme="minorHAnsi"/>
                <w:b/>
                <w:bCs/>
                <w:color w:val="FFFFFF"/>
                <w:sz w:val="20"/>
                <w:szCs w:val="20"/>
                <w:lang w:val="en-GB" w:eastAsia="en-GB"/>
              </w:rPr>
              <w:t>Junio</w:t>
            </w:r>
            <w:proofErr w:type="spellEnd"/>
            <w:r w:rsidRPr="00D65578">
              <w:rPr>
                <w:rFonts w:asciiTheme="minorHAnsi" w:hAnsiTheme="minorHAnsi"/>
                <w:b/>
                <w:bCs/>
                <w:color w:val="FFFFFF"/>
                <w:sz w:val="20"/>
                <w:szCs w:val="20"/>
                <w:lang w:val="en-GB" w:eastAsia="en-GB"/>
              </w:rPr>
              <w:t xml:space="preserve"> 2015</w:t>
            </w:r>
          </w:p>
        </w:tc>
        <w:tc>
          <w:tcPr>
            <w:tcW w:w="686" w:type="pct"/>
            <w:tcBorders>
              <w:top w:val="nil"/>
              <w:left w:val="nil"/>
              <w:bottom w:val="single" w:sz="8" w:space="0" w:color="FFFFFF"/>
              <w:right w:val="single" w:sz="8" w:space="0" w:color="FFFFFF"/>
            </w:tcBorders>
            <w:shd w:val="clear" w:color="000000" w:fill="538DD5"/>
            <w:noWrap/>
            <w:vAlign w:val="center"/>
            <w:hideMark/>
          </w:tcPr>
          <w:p w:rsidR="002E7532" w:rsidRPr="00D65578" w:rsidRDefault="002E7532" w:rsidP="002E7532">
            <w:pPr>
              <w:jc w:val="center"/>
              <w:rPr>
                <w:rFonts w:asciiTheme="minorHAnsi" w:hAnsiTheme="minorHAnsi"/>
                <w:b/>
                <w:bCs/>
                <w:color w:val="FFFFFF"/>
                <w:sz w:val="20"/>
                <w:szCs w:val="20"/>
                <w:lang w:val="en-GB" w:eastAsia="en-GB"/>
              </w:rPr>
            </w:pPr>
            <w:r w:rsidRPr="00D65578">
              <w:rPr>
                <w:rFonts w:asciiTheme="minorHAnsi" w:hAnsiTheme="minorHAnsi"/>
                <w:b/>
                <w:bCs/>
                <w:color w:val="FFFFFF"/>
                <w:sz w:val="20"/>
                <w:szCs w:val="20"/>
                <w:lang w:val="en-GB" w:eastAsia="en-GB"/>
              </w:rPr>
              <w:t>Dec - 2015</w:t>
            </w:r>
          </w:p>
        </w:tc>
        <w:tc>
          <w:tcPr>
            <w:tcW w:w="700" w:type="pct"/>
            <w:tcBorders>
              <w:top w:val="nil"/>
              <w:left w:val="nil"/>
              <w:bottom w:val="single" w:sz="8" w:space="0" w:color="FFFFFF"/>
              <w:right w:val="single" w:sz="8" w:space="0" w:color="FFFFFF"/>
            </w:tcBorders>
            <w:shd w:val="clear" w:color="000000" w:fill="538DD5"/>
            <w:noWrap/>
            <w:vAlign w:val="center"/>
            <w:hideMark/>
          </w:tcPr>
          <w:p w:rsidR="002E7532" w:rsidRPr="00D65578" w:rsidRDefault="002E7532" w:rsidP="002E7532">
            <w:pPr>
              <w:jc w:val="center"/>
              <w:rPr>
                <w:rFonts w:asciiTheme="minorHAnsi" w:hAnsiTheme="minorHAnsi"/>
                <w:b/>
                <w:bCs/>
                <w:color w:val="FFFFFF"/>
                <w:sz w:val="20"/>
                <w:szCs w:val="20"/>
                <w:lang w:val="en-GB" w:eastAsia="en-GB"/>
              </w:rPr>
            </w:pPr>
            <w:proofErr w:type="spellStart"/>
            <w:r w:rsidRPr="00D65578">
              <w:rPr>
                <w:rFonts w:asciiTheme="minorHAnsi" w:hAnsiTheme="minorHAnsi"/>
                <w:b/>
                <w:bCs/>
                <w:color w:val="FFFFFF"/>
                <w:sz w:val="20"/>
                <w:szCs w:val="20"/>
                <w:lang w:val="en-GB" w:eastAsia="en-GB"/>
              </w:rPr>
              <w:t>Junio</w:t>
            </w:r>
            <w:proofErr w:type="spellEnd"/>
            <w:r w:rsidRPr="00D65578">
              <w:rPr>
                <w:rFonts w:asciiTheme="minorHAnsi" w:hAnsiTheme="minorHAnsi"/>
                <w:b/>
                <w:bCs/>
                <w:color w:val="FFFFFF"/>
                <w:sz w:val="20"/>
                <w:szCs w:val="20"/>
                <w:lang w:val="en-GB" w:eastAsia="en-GB"/>
              </w:rPr>
              <w:t xml:space="preserve"> 2016</w:t>
            </w:r>
          </w:p>
        </w:tc>
        <w:tc>
          <w:tcPr>
            <w:tcW w:w="957" w:type="pct"/>
            <w:tcBorders>
              <w:top w:val="nil"/>
              <w:left w:val="nil"/>
              <w:bottom w:val="single" w:sz="8" w:space="0" w:color="FFFFFF"/>
              <w:right w:val="single" w:sz="8" w:space="0" w:color="FFFFFF"/>
            </w:tcBorders>
            <w:shd w:val="clear" w:color="000000" w:fill="FF0066"/>
            <w:noWrap/>
            <w:vAlign w:val="center"/>
            <w:hideMark/>
          </w:tcPr>
          <w:p w:rsidR="002E7532" w:rsidRPr="00D65578" w:rsidRDefault="002E7532" w:rsidP="002E7532">
            <w:pPr>
              <w:jc w:val="center"/>
              <w:rPr>
                <w:rFonts w:asciiTheme="minorHAnsi" w:hAnsiTheme="minorHAnsi"/>
                <w:b/>
                <w:bCs/>
                <w:color w:val="FFFFFF"/>
                <w:sz w:val="20"/>
                <w:szCs w:val="20"/>
                <w:lang w:val="en-GB" w:eastAsia="en-GB"/>
              </w:rPr>
            </w:pPr>
            <w:proofErr w:type="spellStart"/>
            <w:r w:rsidRPr="00D65578">
              <w:rPr>
                <w:rFonts w:asciiTheme="minorHAnsi" w:hAnsiTheme="minorHAnsi"/>
                <w:b/>
                <w:bCs/>
                <w:color w:val="FFFFFF"/>
                <w:sz w:val="20"/>
                <w:szCs w:val="20"/>
                <w:lang w:val="en-GB" w:eastAsia="en-GB"/>
              </w:rPr>
              <w:t>Junio</w:t>
            </w:r>
            <w:proofErr w:type="spellEnd"/>
            <w:r w:rsidRPr="00D65578">
              <w:rPr>
                <w:rFonts w:asciiTheme="minorHAnsi" w:hAnsiTheme="minorHAnsi"/>
                <w:b/>
                <w:bCs/>
                <w:color w:val="FFFFFF"/>
                <w:sz w:val="20"/>
                <w:szCs w:val="20"/>
                <w:lang w:val="en-GB" w:eastAsia="en-GB"/>
              </w:rPr>
              <w:t xml:space="preserve"> </w:t>
            </w:r>
            <w:proofErr w:type="spellStart"/>
            <w:r w:rsidRPr="00D65578">
              <w:rPr>
                <w:rFonts w:asciiTheme="minorHAnsi" w:hAnsiTheme="minorHAnsi"/>
                <w:b/>
                <w:bCs/>
                <w:color w:val="FFFFFF"/>
                <w:sz w:val="20"/>
                <w:szCs w:val="20"/>
                <w:lang w:val="en-GB" w:eastAsia="en-GB"/>
              </w:rPr>
              <w:t>Proforma</w:t>
            </w:r>
            <w:proofErr w:type="spellEnd"/>
          </w:p>
        </w:tc>
      </w:tr>
      <w:tr w:rsidR="00D65578" w:rsidRPr="00D65578" w:rsidTr="00D65578">
        <w:trPr>
          <w:trHeight w:val="315"/>
        </w:trPr>
        <w:tc>
          <w:tcPr>
            <w:tcW w:w="1957" w:type="pct"/>
            <w:tcBorders>
              <w:top w:val="nil"/>
              <w:left w:val="single" w:sz="8" w:space="0" w:color="FFFFFF"/>
              <w:bottom w:val="single" w:sz="8" w:space="0" w:color="FFFFFF"/>
              <w:right w:val="single" w:sz="8" w:space="0" w:color="FFFFFF"/>
            </w:tcBorders>
            <w:shd w:val="clear" w:color="000000" w:fill="D9D9D9"/>
            <w:noWrap/>
            <w:vAlign w:val="center"/>
            <w:hideMark/>
          </w:tcPr>
          <w:p w:rsidR="00D65578" w:rsidRPr="00D65578" w:rsidRDefault="00D65578" w:rsidP="002E7532">
            <w:pPr>
              <w:rPr>
                <w:rFonts w:asciiTheme="minorHAnsi" w:hAnsiTheme="minorHAnsi"/>
                <w:b/>
                <w:bCs/>
                <w:color w:val="000000"/>
                <w:sz w:val="20"/>
                <w:szCs w:val="20"/>
                <w:lang w:val="en-GB" w:eastAsia="en-GB"/>
              </w:rPr>
            </w:pPr>
            <w:proofErr w:type="spellStart"/>
            <w:r w:rsidRPr="00D65578">
              <w:rPr>
                <w:rFonts w:asciiTheme="minorHAnsi" w:hAnsiTheme="minorHAnsi"/>
                <w:b/>
                <w:bCs/>
                <w:color w:val="000000"/>
                <w:sz w:val="20"/>
                <w:szCs w:val="20"/>
                <w:lang w:val="en-GB" w:eastAsia="en-GB"/>
              </w:rPr>
              <w:t>Deuda</w:t>
            </w:r>
            <w:proofErr w:type="spellEnd"/>
            <w:r w:rsidRPr="00D65578">
              <w:rPr>
                <w:rFonts w:asciiTheme="minorHAnsi" w:hAnsiTheme="minorHAnsi"/>
                <w:b/>
                <w:bCs/>
                <w:color w:val="000000"/>
                <w:sz w:val="20"/>
                <w:szCs w:val="20"/>
                <w:lang w:val="en-GB" w:eastAsia="en-GB"/>
              </w:rPr>
              <w:t xml:space="preserve"> </w:t>
            </w:r>
            <w:proofErr w:type="spellStart"/>
            <w:r w:rsidRPr="00D65578">
              <w:rPr>
                <w:rFonts w:asciiTheme="minorHAnsi" w:hAnsiTheme="minorHAnsi"/>
                <w:b/>
                <w:bCs/>
                <w:color w:val="000000"/>
                <w:sz w:val="20"/>
                <w:szCs w:val="20"/>
                <w:lang w:val="en-GB" w:eastAsia="en-GB"/>
              </w:rPr>
              <w:t>Bruta</w:t>
            </w:r>
            <w:proofErr w:type="spellEnd"/>
            <w:r w:rsidRPr="00D65578">
              <w:rPr>
                <w:rFonts w:asciiTheme="minorHAnsi" w:hAnsiTheme="minorHAnsi"/>
                <w:b/>
                <w:bCs/>
                <w:color w:val="000000"/>
                <w:sz w:val="20"/>
                <w:szCs w:val="20"/>
                <w:lang w:val="en-GB" w:eastAsia="en-GB"/>
              </w:rPr>
              <w:t xml:space="preserve"> </w:t>
            </w:r>
          </w:p>
        </w:tc>
        <w:tc>
          <w:tcPr>
            <w:tcW w:w="700" w:type="pct"/>
            <w:tcBorders>
              <w:top w:val="nil"/>
              <w:left w:val="nil"/>
              <w:bottom w:val="single" w:sz="8" w:space="0" w:color="FFFFFF"/>
              <w:right w:val="single" w:sz="8" w:space="0" w:color="FFFFFF"/>
            </w:tcBorders>
            <w:shd w:val="clear" w:color="000000" w:fill="D9D9D9"/>
            <w:noWrap/>
            <w:hideMark/>
          </w:tcPr>
          <w:p w:rsidR="00D65578" w:rsidRPr="00D65578" w:rsidRDefault="00D65578" w:rsidP="00D65578">
            <w:pPr>
              <w:jc w:val="right"/>
              <w:rPr>
                <w:rFonts w:asciiTheme="minorHAnsi" w:hAnsiTheme="minorHAnsi"/>
                <w:b/>
                <w:sz w:val="20"/>
                <w:szCs w:val="20"/>
              </w:rPr>
            </w:pPr>
            <w:r w:rsidRPr="00D65578">
              <w:rPr>
                <w:rFonts w:asciiTheme="minorHAnsi" w:hAnsiTheme="minorHAnsi"/>
                <w:b/>
                <w:sz w:val="20"/>
                <w:szCs w:val="20"/>
              </w:rPr>
              <w:t>350.650</w:t>
            </w:r>
          </w:p>
        </w:tc>
        <w:tc>
          <w:tcPr>
            <w:tcW w:w="686" w:type="pct"/>
            <w:tcBorders>
              <w:top w:val="nil"/>
              <w:left w:val="nil"/>
              <w:bottom w:val="single" w:sz="8" w:space="0" w:color="FFFFFF"/>
              <w:right w:val="single" w:sz="8" w:space="0" w:color="FFFFFF"/>
            </w:tcBorders>
            <w:shd w:val="clear" w:color="000000" w:fill="D9D9D9"/>
            <w:noWrap/>
            <w:hideMark/>
          </w:tcPr>
          <w:p w:rsidR="00D65578" w:rsidRPr="00D65578" w:rsidRDefault="00D65578" w:rsidP="00D65578">
            <w:pPr>
              <w:jc w:val="right"/>
              <w:rPr>
                <w:rFonts w:asciiTheme="minorHAnsi" w:hAnsiTheme="minorHAnsi"/>
                <w:b/>
                <w:sz w:val="20"/>
                <w:szCs w:val="20"/>
              </w:rPr>
            </w:pPr>
            <w:r w:rsidRPr="00D65578">
              <w:rPr>
                <w:rFonts w:asciiTheme="minorHAnsi" w:hAnsiTheme="minorHAnsi"/>
                <w:b/>
                <w:sz w:val="20"/>
                <w:szCs w:val="20"/>
              </w:rPr>
              <w:t>366.651</w:t>
            </w:r>
          </w:p>
        </w:tc>
        <w:tc>
          <w:tcPr>
            <w:tcW w:w="700" w:type="pct"/>
            <w:tcBorders>
              <w:top w:val="nil"/>
              <w:left w:val="nil"/>
              <w:bottom w:val="single" w:sz="8" w:space="0" w:color="FFFFFF"/>
              <w:right w:val="single" w:sz="8" w:space="0" w:color="FFFFFF"/>
            </w:tcBorders>
            <w:shd w:val="clear" w:color="000000" w:fill="D9D9D9"/>
            <w:noWrap/>
            <w:hideMark/>
          </w:tcPr>
          <w:p w:rsidR="00D65578" w:rsidRPr="00D65578" w:rsidRDefault="00D65578" w:rsidP="00D65578">
            <w:pPr>
              <w:jc w:val="right"/>
              <w:rPr>
                <w:rFonts w:asciiTheme="minorHAnsi" w:hAnsiTheme="minorHAnsi"/>
                <w:b/>
                <w:sz w:val="20"/>
                <w:szCs w:val="20"/>
              </w:rPr>
            </w:pPr>
            <w:r w:rsidRPr="00D65578">
              <w:rPr>
                <w:rFonts w:asciiTheme="minorHAnsi" w:hAnsiTheme="minorHAnsi"/>
                <w:b/>
                <w:sz w:val="20"/>
                <w:szCs w:val="20"/>
              </w:rPr>
              <w:t>319.937</w:t>
            </w:r>
          </w:p>
        </w:tc>
        <w:tc>
          <w:tcPr>
            <w:tcW w:w="957" w:type="pct"/>
            <w:tcBorders>
              <w:top w:val="nil"/>
              <w:left w:val="nil"/>
              <w:bottom w:val="single" w:sz="8" w:space="0" w:color="FFFFFF"/>
              <w:right w:val="single" w:sz="8" w:space="0" w:color="FFFFFF"/>
            </w:tcBorders>
            <w:shd w:val="clear" w:color="000000" w:fill="D9D9D9"/>
            <w:noWrap/>
            <w:hideMark/>
          </w:tcPr>
          <w:p w:rsidR="00D65578" w:rsidRPr="00D65578" w:rsidRDefault="003C2A84" w:rsidP="00D65578">
            <w:pPr>
              <w:jc w:val="right"/>
              <w:rPr>
                <w:rFonts w:asciiTheme="minorHAnsi" w:hAnsiTheme="minorHAnsi"/>
                <w:b/>
                <w:sz w:val="20"/>
                <w:szCs w:val="20"/>
              </w:rPr>
            </w:pPr>
            <w:r>
              <w:rPr>
                <w:rFonts w:asciiTheme="minorHAnsi" w:hAnsiTheme="minorHAnsi"/>
                <w:b/>
                <w:sz w:val="20"/>
                <w:szCs w:val="20"/>
              </w:rPr>
              <w:t>256</w:t>
            </w:r>
            <w:r w:rsidR="00D65578" w:rsidRPr="00D65578">
              <w:rPr>
                <w:rFonts w:asciiTheme="minorHAnsi" w:hAnsiTheme="minorHAnsi"/>
                <w:b/>
                <w:sz w:val="20"/>
                <w:szCs w:val="20"/>
              </w:rPr>
              <w:t>.912</w:t>
            </w:r>
          </w:p>
        </w:tc>
      </w:tr>
      <w:tr w:rsidR="00D65578" w:rsidRPr="002E7532" w:rsidTr="00D65578">
        <w:trPr>
          <w:trHeight w:val="315"/>
        </w:trPr>
        <w:tc>
          <w:tcPr>
            <w:tcW w:w="1957" w:type="pct"/>
            <w:tcBorders>
              <w:top w:val="nil"/>
              <w:left w:val="single" w:sz="8" w:space="0" w:color="FFFFFF"/>
              <w:bottom w:val="single" w:sz="8" w:space="0" w:color="FFFFFF"/>
              <w:right w:val="single" w:sz="8" w:space="0" w:color="FFFFFF"/>
            </w:tcBorders>
            <w:shd w:val="clear" w:color="000000" w:fill="FFFFFF"/>
            <w:noWrap/>
            <w:vAlign w:val="center"/>
            <w:hideMark/>
          </w:tcPr>
          <w:p w:rsidR="00D65578" w:rsidRPr="00D65578" w:rsidRDefault="00D65578" w:rsidP="002E7532">
            <w:pPr>
              <w:rPr>
                <w:rFonts w:asciiTheme="minorHAnsi" w:hAnsiTheme="minorHAnsi"/>
                <w:color w:val="000000"/>
                <w:sz w:val="20"/>
                <w:szCs w:val="20"/>
                <w:lang w:val="en-GB" w:eastAsia="en-GB"/>
              </w:rPr>
            </w:pPr>
            <w:proofErr w:type="spellStart"/>
            <w:r w:rsidRPr="00D65578">
              <w:rPr>
                <w:rFonts w:asciiTheme="minorHAnsi" w:hAnsiTheme="minorHAnsi"/>
                <w:color w:val="000000"/>
                <w:sz w:val="20"/>
                <w:szCs w:val="20"/>
                <w:lang w:val="en-GB" w:eastAsia="en-GB"/>
              </w:rPr>
              <w:t>Efectivo</w:t>
            </w:r>
            <w:proofErr w:type="spellEnd"/>
            <w:r w:rsidRPr="00D65578">
              <w:rPr>
                <w:rFonts w:asciiTheme="minorHAnsi" w:hAnsiTheme="minorHAnsi"/>
                <w:color w:val="000000"/>
                <w:sz w:val="20"/>
                <w:szCs w:val="20"/>
                <w:lang w:val="en-GB" w:eastAsia="en-GB"/>
              </w:rPr>
              <w:t xml:space="preserve"> y </w:t>
            </w:r>
            <w:proofErr w:type="spellStart"/>
            <w:r w:rsidRPr="00D65578">
              <w:rPr>
                <w:rFonts w:asciiTheme="minorHAnsi" w:hAnsiTheme="minorHAnsi"/>
                <w:color w:val="000000"/>
                <w:sz w:val="20"/>
                <w:szCs w:val="20"/>
                <w:lang w:val="en-GB" w:eastAsia="en-GB"/>
              </w:rPr>
              <w:t>equivalentes</w:t>
            </w:r>
            <w:proofErr w:type="spellEnd"/>
          </w:p>
        </w:tc>
        <w:tc>
          <w:tcPr>
            <w:tcW w:w="700" w:type="pct"/>
            <w:tcBorders>
              <w:top w:val="nil"/>
              <w:left w:val="nil"/>
              <w:bottom w:val="single" w:sz="8" w:space="0" w:color="FFFFFF"/>
              <w:right w:val="single" w:sz="8" w:space="0" w:color="FFFFFF"/>
            </w:tcBorders>
            <w:shd w:val="clear" w:color="000000" w:fill="FFFFFF"/>
            <w:noWrap/>
            <w:hideMark/>
          </w:tcPr>
          <w:p w:rsidR="00D65578" w:rsidRPr="00D65578" w:rsidRDefault="00D65578" w:rsidP="00D65578">
            <w:pPr>
              <w:jc w:val="right"/>
              <w:rPr>
                <w:rFonts w:asciiTheme="minorHAnsi" w:hAnsiTheme="minorHAnsi"/>
                <w:sz w:val="20"/>
                <w:szCs w:val="20"/>
              </w:rPr>
            </w:pPr>
            <w:r w:rsidRPr="00D65578">
              <w:rPr>
                <w:rFonts w:asciiTheme="minorHAnsi" w:hAnsiTheme="minorHAnsi"/>
                <w:sz w:val="20"/>
                <w:szCs w:val="20"/>
              </w:rPr>
              <w:t>41.278</w:t>
            </w:r>
          </w:p>
        </w:tc>
        <w:tc>
          <w:tcPr>
            <w:tcW w:w="686" w:type="pct"/>
            <w:tcBorders>
              <w:top w:val="nil"/>
              <w:left w:val="nil"/>
              <w:bottom w:val="single" w:sz="8" w:space="0" w:color="FFFFFF"/>
              <w:right w:val="single" w:sz="8" w:space="0" w:color="FFFFFF"/>
            </w:tcBorders>
            <w:shd w:val="clear" w:color="000000" w:fill="FFFFFF"/>
            <w:noWrap/>
            <w:hideMark/>
          </w:tcPr>
          <w:p w:rsidR="00D65578" w:rsidRPr="00D65578" w:rsidRDefault="00D65578" w:rsidP="00D65578">
            <w:pPr>
              <w:jc w:val="right"/>
              <w:rPr>
                <w:rFonts w:asciiTheme="minorHAnsi" w:hAnsiTheme="minorHAnsi"/>
                <w:sz w:val="20"/>
                <w:szCs w:val="20"/>
              </w:rPr>
            </w:pPr>
            <w:r w:rsidRPr="00D65578">
              <w:rPr>
                <w:rFonts w:asciiTheme="minorHAnsi" w:hAnsiTheme="minorHAnsi"/>
                <w:sz w:val="20"/>
                <w:szCs w:val="20"/>
              </w:rPr>
              <w:t>61.744</w:t>
            </w:r>
          </w:p>
        </w:tc>
        <w:tc>
          <w:tcPr>
            <w:tcW w:w="700" w:type="pct"/>
            <w:tcBorders>
              <w:top w:val="nil"/>
              <w:left w:val="nil"/>
              <w:bottom w:val="single" w:sz="8" w:space="0" w:color="FFFFFF"/>
              <w:right w:val="single" w:sz="8" w:space="0" w:color="FFFFFF"/>
            </w:tcBorders>
            <w:shd w:val="clear" w:color="000000" w:fill="FFFFFF"/>
            <w:noWrap/>
            <w:hideMark/>
          </w:tcPr>
          <w:p w:rsidR="00D65578" w:rsidRPr="00D65578" w:rsidRDefault="00D65578" w:rsidP="00D65578">
            <w:pPr>
              <w:jc w:val="right"/>
              <w:rPr>
                <w:rFonts w:asciiTheme="minorHAnsi" w:hAnsiTheme="minorHAnsi"/>
                <w:sz w:val="20"/>
                <w:szCs w:val="20"/>
              </w:rPr>
            </w:pPr>
            <w:r w:rsidRPr="00D65578">
              <w:rPr>
                <w:rFonts w:asciiTheme="minorHAnsi" w:hAnsiTheme="minorHAnsi"/>
                <w:sz w:val="20"/>
                <w:szCs w:val="20"/>
              </w:rPr>
              <w:t>36.211</w:t>
            </w:r>
          </w:p>
        </w:tc>
        <w:tc>
          <w:tcPr>
            <w:tcW w:w="957" w:type="pct"/>
            <w:tcBorders>
              <w:top w:val="nil"/>
              <w:left w:val="nil"/>
              <w:bottom w:val="single" w:sz="8" w:space="0" w:color="FFFFFF"/>
              <w:right w:val="single" w:sz="8" w:space="0" w:color="FFFFFF"/>
            </w:tcBorders>
            <w:shd w:val="clear" w:color="000000" w:fill="FFFFFF"/>
            <w:noWrap/>
            <w:hideMark/>
          </w:tcPr>
          <w:p w:rsidR="00D65578" w:rsidRPr="00D65578" w:rsidRDefault="00D65578" w:rsidP="00D65578">
            <w:pPr>
              <w:jc w:val="right"/>
              <w:rPr>
                <w:rFonts w:asciiTheme="minorHAnsi" w:hAnsiTheme="minorHAnsi"/>
                <w:sz w:val="20"/>
                <w:szCs w:val="20"/>
              </w:rPr>
            </w:pPr>
            <w:r w:rsidRPr="00D65578">
              <w:rPr>
                <w:rFonts w:asciiTheme="minorHAnsi" w:hAnsiTheme="minorHAnsi"/>
                <w:sz w:val="20"/>
                <w:szCs w:val="20"/>
              </w:rPr>
              <w:t>36.415</w:t>
            </w:r>
          </w:p>
        </w:tc>
      </w:tr>
      <w:tr w:rsidR="00D65578" w:rsidRPr="00D65578" w:rsidTr="00D65578">
        <w:trPr>
          <w:trHeight w:val="315"/>
        </w:trPr>
        <w:tc>
          <w:tcPr>
            <w:tcW w:w="1957" w:type="pct"/>
            <w:tcBorders>
              <w:top w:val="nil"/>
              <w:left w:val="single" w:sz="8" w:space="0" w:color="FFFFFF"/>
              <w:bottom w:val="single" w:sz="8" w:space="0" w:color="FFFFFF"/>
              <w:right w:val="single" w:sz="8" w:space="0" w:color="FFFFFF"/>
            </w:tcBorders>
            <w:shd w:val="clear" w:color="000000" w:fill="DCE6F1"/>
            <w:noWrap/>
            <w:vAlign w:val="center"/>
            <w:hideMark/>
          </w:tcPr>
          <w:p w:rsidR="00D65578" w:rsidRPr="00D65578" w:rsidRDefault="00D65578" w:rsidP="002E7532">
            <w:pPr>
              <w:rPr>
                <w:rFonts w:asciiTheme="minorHAnsi" w:hAnsiTheme="minorHAnsi"/>
                <w:b/>
                <w:bCs/>
                <w:color w:val="000000"/>
                <w:sz w:val="20"/>
                <w:szCs w:val="20"/>
                <w:lang w:val="en-GB" w:eastAsia="en-GB"/>
              </w:rPr>
            </w:pPr>
            <w:proofErr w:type="spellStart"/>
            <w:r w:rsidRPr="00D65578">
              <w:rPr>
                <w:rFonts w:asciiTheme="minorHAnsi" w:hAnsiTheme="minorHAnsi"/>
                <w:b/>
                <w:bCs/>
                <w:color w:val="000000"/>
                <w:sz w:val="20"/>
                <w:szCs w:val="20"/>
                <w:lang w:val="en-GB" w:eastAsia="en-GB"/>
              </w:rPr>
              <w:t>Deuda</w:t>
            </w:r>
            <w:proofErr w:type="spellEnd"/>
            <w:r w:rsidRPr="00D65578">
              <w:rPr>
                <w:rFonts w:asciiTheme="minorHAnsi" w:hAnsiTheme="minorHAnsi"/>
                <w:b/>
                <w:bCs/>
                <w:color w:val="000000"/>
                <w:sz w:val="20"/>
                <w:szCs w:val="20"/>
                <w:lang w:val="en-GB" w:eastAsia="en-GB"/>
              </w:rPr>
              <w:t xml:space="preserve"> </w:t>
            </w:r>
            <w:proofErr w:type="spellStart"/>
            <w:r w:rsidRPr="00D65578">
              <w:rPr>
                <w:rFonts w:asciiTheme="minorHAnsi" w:hAnsiTheme="minorHAnsi"/>
                <w:b/>
                <w:bCs/>
                <w:color w:val="000000"/>
                <w:sz w:val="20"/>
                <w:szCs w:val="20"/>
                <w:lang w:val="en-GB" w:eastAsia="en-GB"/>
              </w:rPr>
              <w:t>Neta</w:t>
            </w:r>
            <w:proofErr w:type="spellEnd"/>
          </w:p>
        </w:tc>
        <w:tc>
          <w:tcPr>
            <w:tcW w:w="700" w:type="pct"/>
            <w:tcBorders>
              <w:top w:val="nil"/>
              <w:left w:val="nil"/>
              <w:bottom w:val="single" w:sz="8" w:space="0" w:color="FFFFFF"/>
              <w:right w:val="single" w:sz="8" w:space="0" w:color="FFFFFF"/>
            </w:tcBorders>
            <w:shd w:val="clear" w:color="000000" w:fill="DCE6F1"/>
            <w:noWrap/>
            <w:hideMark/>
          </w:tcPr>
          <w:p w:rsidR="00D65578" w:rsidRPr="00D65578" w:rsidRDefault="00D65578" w:rsidP="00D65578">
            <w:pPr>
              <w:jc w:val="right"/>
              <w:rPr>
                <w:rFonts w:asciiTheme="minorHAnsi" w:hAnsiTheme="minorHAnsi"/>
                <w:b/>
                <w:sz w:val="20"/>
                <w:szCs w:val="20"/>
              </w:rPr>
            </w:pPr>
            <w:r w:rsidRPr="00D65578">
              <w:rPr>
                <w:rFonts w:asciiTheme="minorHAnsi" w:hAnsiTheme="minorHAnsi"/>
                <w:b/>
                <w:sz w:val="20"/>
                <w:szCs w:val="20"/>
              </w:rPr>
              <w:t>309.371</w:t>
            </w:r>
          </w:p>
        </w:tc>
        <w:tc>
          <w:tcPr>
            <w:tcW w:w="686" w:type="pct"/>
            <w:tcBorders>
              <w:top w:val="nil"/>
              <w:left w:val="nil"/>
              <w:bottom w:val="single" w:sz="8" w:space="0" w:color="FFFFFF"/>
              <w:right w:val="single" w:sz="8" w:space="0" w:color="FFFFFF"/>
            </w:tcBorders>
            <w:shd w:val="clear" w:color="000000" w:fill="DCE6F1"/>
            <w:noWrap/>
            <w:hideMark/>
          </w:tcPr>
          <w:p w:rsidR="00D65578" w:rsidRPr="00D65578" w:rsidRDefault="00D65578" w:rsidP="00D65578">
            <w:pPr>
              <w:jc w:val="right"/>
              <w:rPr>
                <w:rFonts w:asciiTheme="minorHAnsi" w:hAnsiTheme="minorHAnsi"/>
                <w:b/>
                <w:sz w:val="20"/>
                <w:szCs w:val="20"/>
              </w:rPr>
            </w:pPr>
            <w:r w:rsidRPr="00D65578">
              <w:rPr>
                <w:rFonts w:asciiTheme="minorHAnsi" w:hAnsiTheme="minorHAnsi"/>
                <w:b/>
                <w:sz w:val="20"/>
                <w:szCs w:val="20"/>
              </w:rPr>
              <w:t>304.907</w:t>
            </w:r>
          </w:p>
        </w:tc>
        <w:tc>
          <w:tcPr>
            <w:tcW w:w="700" w:type="pct"/>
            <w:tcBorders>
              <w:top w:val="nil"/>
              <w:left w:val="nil"/>
              <w:bottom w:val="single" w:sz="8" w:space="0" w:color="FFFFFF"/>
              <w:right w:val="single" w:sz="8" w:space="0" w:color="FFFFFF"/>
            </w:tcBorders>
            <w:shd w:val="clear" w:color="000000" w:fill="DCE6F1"/>
            <w:noWrap/>
            <w:hideMark/>
          </w:tcPr>
          <w:p w:rsidR="00D65578" w:rsidRPr="00D65578" w:rsidRDefault="00D65578" w:rsidP="00D65578">
            <w:pPr>
              <w:jc w:val="right"/>
              <w:rPr>
                <w:rFonts w:asciiTheme="minorHAnsi" w:hAnsiTheme="minorHAnsi"/>
                <w:b/>
                <w:sz w:val="20"/>
                <w:szCs w:val="20"/>
              </w:rPr>
            </w:pPr>
            <w:r w:rsidRPr="00D65578">
              <w:rPr>
                <w:rFonts w:asciiTheme="minorHAnsi" w:hAnsiTheme="minorHAnsi"/>
                <w:b/>
                <w:sz w:val="20"/>
                <w:szCs w:val="20"/>
              </w:rPr>
              <w:t>283.726</w:t>
            </w:r>
          </w:p>
        </w:tc>
        <w:tc>
          <w:tcPr>
            <w:tcW w:w="957" w:type="pct"/>
            <w:tcBorders>
              <w:top w:val="nil"/>
              <w:left w:val="nil"/>
              <w:bottom w:val="single" w:sz="8" w:space="0" w:color="FFFFFF"/>
              <w:right w:val="single" w:sz="8" w:space="0" w:color="FFFFFF"/>
            </w:tcBorders>
            <w:shd w:val="clear" w:color="000000" w:fill="DCE6F1"/>
            <w:noWrap/>
            <w:hideMark/>
          </w:tcPr>
          <w:p w:rsidR="00D65578" w:rsidRPr="00D65578" w:rsidRDefault="003C2A84" w:rsidP="00D65578">
            <w:pPr>
              <w:jc w:val="right"/>
              <w:rPr>
                <w:rFonts w:asciiTheme="minorHAnsi" w:hAnsiTheme="minorHAnsi"/>
                <w:b/>
                <w:sz w:val="20"/>
                <w:szCs w:val="20"/>
              </w:rPr>
            </w:pPr>
            <w:r>
              <w:rPr>
                <w:rFonts w:asciiTheme="minorHAnsi" w:hAnsiTheme="minorHAnsi"/>
                <w:b/>
                <w:sz w:val="20"/>
                <w:szCs w:val="20"/>
              </w:rPr>
              <w:t>220</w:t>
            </w:r>
            <w:r w:rsidR="00D65578" w:rsidRPr="00D65578">
              <w:rPr>
                <w:rFonts w:asciiTheme="minorHAnsi" w:hAnsiTheme="minorHAnsi"/>
                <w:b/>
                <w:sz w:val="20"/>
                <w:szCs w:val="20"/>
              </w:rPr>
              <w:t>.498</w:t>
            </w:r>
          </w:p>
        </w:tc>
      </w:tr>
      <w:tr w:rsidR="00D65578" w:rsidRPr="002E7532" w:rsidTr="00D65578">
        <w:trPr>
          <w:trHeight w:val="315"/>
        </w:trPr>
        <w:tc>
          <w:tcPr>
            <w:tcW w:w="1957" w:type="pct"/>
            <w:tcBorders>
              <w:top w:val="nil"/>
              <w:left w:val="single" w:sz="8" w:space="0" w:color="FFFFFF"/>
              <w:bottom w:val="single" w:sz="8" w:space="0" w:color="FFFFFF"/>
              <w:right w:val="single" w:sz="8" w:space="0" w:color="FFFFFF"/>
            </w:tcBorders>
            <w:shd w:val="clear" w:color="000000" w:fill="F2F2F2"/>
            <w:noWrap/>
            <w:vAlign w:val="center"/>
            <w:hideMark/>
          </w:tcPr>
          <w:p w:rsidR="00D65578" w:rsidRPr="00D65578" w:rsidRDefault="00D65578" w:rsidP="002E7532">
            <w:pPr>
              <w:rPr>
                <w:rFonts w:asciiTheme="minorHAnsi" w:hAnsiTheme="minorHAnsi"/>
                <w:color w:val="000000"/>
                <w:sz w:val="20"/>
                <w:szCs w:val="20"/>
                <w:lang w:val="en-GB" w:eastAsia="en-GB"/>
              </w:rPr>
            </w:pPr>
            <w:proofErr w:type="spellStart"/>
            <w:r w:rsidRPr="00D65578">
              <w:rPr>
                <w:rFonts w:asciiTheme="minorHAnsi" w:hAnsiTheme="minorHAnsi"/>
                <w:color w:val="000000"/>
                <w:sz w:val="20"/>
                <w:szCs w:val="20"/>
                <w:lang w:val="en-GB" w:eastAsia="en-GB"/>
              </w:rPr>
              <w:t>Financiación</w:t>
            </w:r>
            <w:proofErr w:type="spellEnd"/>
            <w:r w:rsidRPr="00D65578">
              <w:rPr>
                <w:rFonts w:asciiTheme="minorHAnsi" w:hAnsiTheme="minorHAnsi"/>
                <w:color w:val="000000"/>
                <w:sz w:val="20"/>
                <w:szCs w:val="20"/>
                <w:lang w:val="en-GB" w:eastAsia="en-GB"/>
              </w:rPr>
              <w:t xml:space="preserve"> </w:t>
            </w:r>
            <w:proofErr w:type="spellStart"/>
            <w:r w:rsidRPr="00D65578">
              <w:rPr>
                <w:rFonts w:asciiTheme="minorHAnsi" w:hAnsiTheme="minorHAnsi"/>
                <w:color w:val="000000"/>
                <w:sz w:val="20"/>
                <w:szCs w:val="20"/>
                <w:lang w:val="en-GB" w:eastAsia="en-GB"/>
              </w:rPr>
              <w:t>proveedor</w:t>
            </w:r>
            <w:proofErr w:type="spellEnd"/>
          </w:p>
        </w:tc>
        <w:tc>
          <w:tcPr>
            <w:tcW w:w="700" w:type="pct"/>
            <w:tcBorders>
              <w:top w:val="nil"/>
              <w:left w:val="nil"/>
              <w:bottom w:val="single" w:sz="8" w:space="0" w:color="FFFFFF"/>
              <w:right w:val="single" w:sz="8" w:space="0" w:color="FFFFFF"/>
            </w:tcBorders>
            <w:shd w:val="clear" w:color="000000" w:fill="F2F2F2"/>
            <w:noWrap/>
            <w:hideMark/>
          </w:tcPr>
          <w:p w:rsidR="00D65578" w:rsidRPr="00D65578" w:rsidRDefault="00D65578" w:rsidP="00D65578">
            <w:pPr>
              <w:jc w:val="right"/>
              <w:rPr>
                <w:rFonts w:asciiTheme="minorHAnsi" w:hAnsiTheme="minorHAnsi"/>
                <w:sz w:val="20"/>
                <w:szCs w:val="20"/>
              </w:rPr>
            </w:pPr>
            <w:r w:rsidRPr="00D65578">
              <w:rPr>
                <w:rFonts w:asciiTheme="minorHAnsi" w:hAnsiTheme="minorHAnsi"/>
                <w:sz w:val="20"/>
                <w:szCs w:val="20"/>
              </w:rPr>
              <w:t>48.634</w:t>
            </w:r>
          </w:p>
        </w:tc>
        <w:tc>
          <w:tcPr>
            <w:tcW w:w="686" w:type="pct"/>
            <w:tcBorders>
              <w:top w:val="nil"/>
              <w:left w:val="nil"/>
              <w:bottom w:val="single" w:sz="8" w:space="0" w:color="FFFFFF"/>
              <w:right w:val="single" w:sz="8" w:space="0" w:color="FFFFFF"/>
            </w:tcBorders>
            <w:shd w:val="clear" w:color="000000" w:fill="F2F2F2"/>
            <w:noWrap/>
            <w:hideMark/>
          </w:tcPr>
          <w:p w:rsidR="00D65578" w:rsidRPr="00D65578" w:rsidRDefault="00D65578" w:rsidP="00D65578">
            <w:pPr>
              <w:jc w:val="right"/>
              <w:rPr>
                <w:rFonts w:asciiTheme="minorHAnsi" w:hAnsiTheme="minorHAnsi"/>
                <w:sz w:val="20"/>
                <w:szCs w:val="20"/>
              </w:rPr>
            </w:pPr>
            <w:r w:rsidRPr="00D65578">
              <w:rPr>
                <w:rFonts w:asciiTheme="minorHAnsi" w:hAnsiTheme="minorHAnsi"/>
                <w:sz w:val="20"/>
                <w:szCs w:val="20"/>
              </w:rPr>
              <w:t>63.068</w:t>
            </w:r>
          </w:p>
        </w:tc>
        <w:tc>
          <w:tcPr>
            <w:tcW w:w="700" w:type="pct"/>
            <w:tcBorders>
              <w:top w:val="nil"/>
              <w:left w:val="nil"/>
              <w:bottom w:val="single" w:sz="8" w:space="0" w:color="FFFFFF"/>
              <w:right w:val="single" w:sz="8" w:space="0" w:color="FFFFFF"/>
            </w:tcBorders>
            <w:shd w:val="clear" w:color="000000" w:fill="F2F2F2"/>
            <w:noWrap/>
            <w:hideMark/>
          </w:tcPr>
          <w:p w:rsidR="00D65578" w:rsidRPr="00D65578" w:rsidRDefault="00D65578" w:rsidP="00D65578">
            <w:pPr>
              <w:jc w:val="right"/>
              <w:rPr>
                <w:rFonts w:asciiTheme="minorHAnsi" w:hAnsiTheme="minorHAnsi"/>
                <w:sz w:val="20"/>
                <w:szCs w:val="20"/>
              </w:rPr>
            </w:pPr>
            <w:r w:rsidRPr="00D65578">
              <w:rPr>
                <w:rFonts w:asciiTheme="minorHAnsi" w:hAnsiTheme="minorHAnsi"/>
                <w:sz w:val="20"/>
                <w:szCs w:val="20"/>
              </w:rPr>
              <w:t>15.454</w:t>
            </w:r>
          </w:p>
        </w:tc>
        <w:tc>
          <w:tcPr>
            <w:tcW w:w="957" w:type="pct"/>
            <w:tcBorders>
              <w:top w:val="nil"/>
              <w:left w:val="nil"/>
              <w:bottom w:val="single" w:sz="8" w:space="0" w:color="FFFFFF"/>
              <w:right w:val="single" w:sz="8" w:space="0" w:color="FFFFFF"/>
            </w:tcBorders>
            <w:shd w:val="clear" w:color="000000" w:fill="F2F2F2"/>
            <w:noWrap/>
            <w:hideMark/>
          </w:tcPr>
          <w:p w:rsidR="00D65578" w:rsidRPr="00D65578" w:rsidRDefault="00D65578" w:rsidP="00D65578">
            <w:pPr>
              <w:jc w:val="right"/>
              <w:rPr>
                <w:rFonts w:asciiTheme="minorHAnsi" w:hAnsiTheme="minorHAnsi"/>
                <w:sz w:val="20"/>
                <w:szCs w:val="20"/>
              </w:rPr>
            </w:pPr>
            <w:r w:rsidRPr="00D65578">
              <w:rPr>
                <w:rFonts w:asciiTheme="minorHAnsi" w:hAnsiTheme="minorHAnsi"/>
                <w:sz w:val="20"/>
                <w:szCs w:val="20"/>
              </w:rPr>
              <w:t>0</w:t>
            </w:r>
          </w:p>
        </w:tc>
      </w:tr>
      <w:tr w:rsidR="00D65578" w:rsidRPr="002E7532" w:rsidTr="00D65578">
        <w:trPr>
          <w:trHeight w:val="315"/>
        </w:trPr>
        <w:tc>
          <w:tcPr>
            <w:tcW w:w="1957" w:type="pct"/>
            <w:tcBorders>
              <w:top w:val="nil"/>
              <w:left w:val="single" w:sz="8" w:space="0" w:color="FFFFFF"/>
              <w:bottom w:val="single" w:sz="8" w:space="0" w:color="FFFFFF"/>
              <w:right w:val="single" w:sz="8" w:space="0" w:color="FFFFFF"/>
            </w:tcBorders>
            <w:shd w:val="clear" w:color="000000" w:fill="FFFFFF"/>
            <w:noWrap/>
            <w:vAlign w:val="center"/>
            <w:hideMark/>
          </w:tcPr>
          <w:p w:rsidR="00D65578" w:rsidRPr="00D65578" w:rsidRDefault="00D65578" w:rsidP="002E7532">
            <w:pPr>
              <w:rPr>
                <w:rFonts w:asciiTheme="minorHAnsi" w:hAnsiTheme="minorHAnsi"/>
                <w:color w:val="000000"/>
                <w:sz w:val="20"/>
                <w:szCs w:val="20"/>
                <w:lang w:val="en-GB" w:eastAsia="en-GB"/>
              </w:rPr>
            </w:pPr>
            <w:r w:rsidRPr="00D65578">
              <w:rPr>
                <w:rFonts w:asciiTheme="minorHAnsi" w:hAnsiTheme="minorHAnsi"/>
                <w:color w:val="000000"/>
                <w:sz w:val="20"/>
                <w:szCs w:val="20"/>
                <w:lang w:val="en-GB" w:eastAsia="en-GB"/>
              </w:rPr>
              <w:t>Factoring</w:t>
            </w:r>
          </w:p>
        </w:tc>
        <w:tc>
          <w:tcPr>
            <w:tcW w:w="700" w:type="pct"/>
            <w:tcBorders>
              <w:top w:val="nil"/>
              <w:left w:val="nil"/>
              <w:bottom w:val="single" w:sz="8" w:space="0" w:color="FFFFFF"/>
              <w:right w:val="single" w:sz="8" w:space="0" w:color="FFFFFF"/>
            </w:tcBorders>
            <w:shd w:val="clear" w:color="000000" w:fill="FFFFFF"/>
            <w:noWrap/>
            <w:hideMark/>
          </w:tcPr>
          <w:p w:rsidR="00D65578" w:rsidRPr="00D65578" w:rsidRDefault="00D65578" w:rsidP="00D65578">
            <w:pPr>
              <w:jc w:val="right"/>
              <w:rPr>
                <w:rFonts w:asciiTheme="minorHAnsi" w:hAnsiTheme="minorHAnsi"/>
                <w:sz w:val="20"/>
                <w:szCs w:val="20"/>
              </w:rPr>
            </w:pPr>
            <w:r w:rsidRPr="00D65578">
              <w:rPr>
                <w:rFonts w:asciiTheme="minorHAnsi" w:hAnsiTheme="minorHAnsi"/>
                <w:sz w:val="20"/>
                <w:szCs w:val="20"/>
              </w:rPr>
              <w:t>109.577</w:t>
            </w:r>
          </w:p>
        </w:tc>
        <w:tc>
          <w:tcPr>
            <w:tcW w:w="686" w:type="pct"/>
            <w:tcBorders>
              <w:top w:val="nil"/>
              <w:left w:val="nil"/>
              <w:bottom w:val="single" w:sz="8" w:space="0" w:color="FFFFFF"/>
              <w:right w:val="single" w:sz="8" w:space="0" w:color="FFFFFF"/>
            </w:tcBorders>
            <w:shd w:val="clear" w:color="000000" w:fill="FFFFFF"/>
            <w:noWrap/>
            <w:hideMark/>
          </w:tcPr>
          <w:p w:rsidR="00D65578" w:rsidRPr="00D65578" w:rsidRDefault="00D65578" w:rsidP="00D65578">
            <w:pPr>
              <w:jc w:val="right"/>
              <w:rPr>
                <w:rFonts w:asciiTheme="minorHAnsi" w:hAnsiTheme="minorHAnsi"/>
                <w:sz w:val="20"/>
                <w:szCs w:val="20"/>
              </w:rPr>
            </w:pPr>
            <w:r w:rsidRPr="00D65578">
              <w:rPr>
                <w:rFonts w:asciiTheme="minorHAnsi" w:hAnsiTheme="minorHAnsi"/>
                <w:sz w:val="20"/>
                <w:szCs w:val="20"/>
              </w:rPr>
              <w:t>114.289</w:t>
            </w:r>
          </w:p>
        </w:tc>
        <w:tc>
          <w:tcPr>
            <w:tcW w:w="700" w:type="pct"/>
            <w:tcBorders>
              <w:top w:val="nil"/>
              <w:left w:val="nil"/>
              <w:bottom w:val="single" w:sz="8" w:space="0" w:color="FFFFFF"/>
              <w:right w:val="single" w:sz="8" w:space="0" w:color="FFFFFF"/>
            </w:tcBorders>
            <w:shd w:val="clear" w:color="000000" w:fill="FFFFFF"/>
            <w:noWrap/>
            <w:hideMark/>
          </w:tcPr>
          <w:p w:rsidR="00D65578" w:rsidRPr="00D65578" w:rsidRDefault="00D65578" w:rsidP="00D65578">
            <w:pPr>
              <w:jc w:val="right"/>
              <w:rPr>
                <w:rFonts w:asciiTheme="minorHAnsi" w:hAnsiTheme="minorHAnsi"/>
                <w:sz w:val="20"/>
                <w:szCs w:val="20"/>
              </w:rPr>
            </w:pPr>
            <w:r w:rsidRPr="00D65578">
              <w:rPr>
                <w:rFonts w:asciiTheme="minorHAnsi" w:hAnsiTheme="minorHAnsi"/>
                <w:sz w:val="20"/>
                <w:szCs w:val="20"/>
              </w:rPr>
              <w:t>93.702</w:t>
            </w:r>
          </w:p>
        </w:tc>
        <w:tc>
          <w:tcPr>
            <w:tcW w:w="957" w:type="pct"/>
            <w:tcBorders>
              <w:top w:val="nil"/>
              <w:left w:val="nil"/>
              <w:bottom w:val="single" w:sz="8" w:space="0" w:color="FFFFFF"/>
              <w:right w:val="single" w:sz="8" w:space="0" w:color="FFFFFF"/>
            </w:tcBorders>
            <w:shd w:val="clear" w:color="000000" w:fill="FFFFFF"/>
            <w:noWrap/>
            <w:hideMark/>
          </w:tcPr>
          <w:p w:rsidR="00D65578" w:rsidRPr="00D65578" w:rsidRDefault="00D65578" w:rsidP="00D65578">
            <w:pPr>
              <w:jc w:val="right"/>
              <w:rPr>
                <w:rFonts w:asciiTheme="minorHAnsi" w:hAnsiTheme="minorHAnsi"/>
                <w:sz w:val="20"/>
                <w:szCs w:val="20"/>
              </w:rPr>
            </w:pPr>
            <w:r w:rsidRPr="00D65578">
              <w:rPr>
                <w:rFonts w:asciiTheme="minorHAnsi" w:hAnsiTheme="minorHAnsi"/>
                <w:sz w:val="20"/>
                <w:szCs w:val="20"/>
              </w:rPr>
              <w:t>93.702</w:t>
            </w:r>
          </w:p>
        </w:tc>
      </w:tr>
      <w:tr w:rsidR="00D65578" w:rsidRPr="00D65578" w:rsidTr="00D65578">
        <w:trPr>
          <w:trHeight w:val="315"/>
        </w:trPr>
        <w:tc>
          <w:tcPr>
            <w:tcW w:w="1957" w:type="pct"/>
            <w:tcBorders>
              <w:top w:val="nil"/>
              <w:left w:val="single" w:sz="8" w:space="0" w:color="FFFFFF"/>
              <w:bottom w:val="single" w:sz="8" w:space="0" w:color="FFFFFF"/>
              <w:right w:val="single" w:sz="8" w:space="0" w:color="FFFFFF"/>
            </w:tcBorders>
            <w:shd w:val="clear" w:color="000000" w:fill="DCE6F1"/>
            <w:noWrap/>
            <w:vAlign w:val="center"/>
            <w:hideMark/>
          </w:tcPr>
          <w:p w:rsidR="00D65578" w:rsidRPr="00D65578" w:rsidRDefault="00D65578" w:rsidP="002E7532">
            <w:pPr>
              <w:rPr>
                <w:rFonts w:asciiTheme="minorHAnsi" w:hAnsiTheme="minorHAnsi"/>
                <w:b/>
                <w:bCs/>
                <w:color w:val="000000"/>
                <w:sz w:val="20"/>
                <w:szCs w:val="20"/>
                <w:lang w:val="en-GB" w:eastAsia="en-GB"/>
              </w:rPr>
            </w:pPr>
            <w:proofErr w:type="spellStart"/>
            <w:r w:rsidRPr="00D65578">
              <w:rPr>
                <w:rFonts w:asciiTheme="minorHAnsi" w:hAnsiTheme="minorHAnsi"/>
                <w:b/>
                <w:bCs/>
                <w:color w:val="000000"/>
                <w:sz w:val="20"/>
                <w:szCs w:val="20"/>
                <w:lang w:val="en-GB" w:eastAsia="en-GB"/>
              </w:rPr>
              <w:t>Deuda</w:t>
            </w:r>
            <w:proofErr w:type="spellEnd"/>
            <w:r w:rsidRPr="00D65578">
              <w:rPr>
                <w:rFonts w:asciiTheme="minorHAnsi" w:hAnsiTheme="minorHAnsi"/>
                <w:b/>
                <w:bCs/>
                <w:color w:val="000000"/>
                <w:sz w:val="20"/>
                <w:szCs w:val="20"/>
                <w:lang w:val="en-GB" w:eastAsia="en-GB"/>
              </w:rPr>
              <w:t xml:space="preserve"> </w:t>
            </w:r>
            <w:proofErr w:type="spellStart"/>
            <w:r w:rsidRPr="00D65578">
              <w:rPr>
                <w:rFonts w:asciiTheme="minorHAnsi" w:hAnsiTheme="minorHAnsi"/>
                <w:b/>
                <w:bCs/>
                <w:color w:val="000000"/>
                <w:sz w:val="20"/>
                <w:szCs w:val="20"/>
                <w:lang w:val="en-GB" w:eastAsia="en-GB"/>
              </w:rPr>
              <w:t>Financiera</w:t>
            </w:r>
            <w:proofErr w:type="spellEnd"/>
            <w:r w:rsidRPr="00D65578">
              <w:rPr>
                <w:rFonts w:asciiTheme="minorHAnsi" w:hAnsiTheme="minorHAnsi"/>
                <w:b/>
                <w:bCs/>
                <w:color w:val="000000"/>
                <w:sz w:val="20"/>
                <w:szCs w:val="20"/>
                <w:lang w:val="en-GB" w:eastAsia="en-GB"/>
              </w:rPr>
              <w:t xml:space="preserve"> </w:t>
            </w:r>
            <w:proofErr w:type="spellStart"/>
            <w:r w:rsidRPr="00D65578">
              <w:rPr>
                <w:rFonts w:asciiTheme="minorHAnsi" w:hAnsiTheme="minorHAnsi"/>
                <w:b/>
                <w:bCs/>
                <w:color w:val="000000"/>
                <w:sz w:val="20"/>
                <w:szCs w:val="20"/>
                <w:lang w:val="en-GB" w:eastAsia="en-GB"/>
              </w:rPr>
              <w:t>Neta</w:t>
            </w:r>
            <w:proofErr w:type="spellEnd"/>
          </w:p>
        </w:tc>
        <w:tc>
          <w:tcPr>
            <w:tcW w:w="700" w:type="pct"/>
            <w:tcBorders>
              <w:top w:val="nil"/>
              <w:left w:val="nil"/>
              <w:bottom w:val="single" w:sz="8" w:space="0" w:color="FFFFFF"/>
              <w:right w:val="single" w:sz="8" w:space="0" w:color="FFFFFF"/>
            </w:tcBorders>
            <w:shd w:val="clear" w:color="000000" w:fill="DCE6F1"/>
            <w:noWrap/>
            <w:hideMark/>
          </w:tcPr>
          <w:p w:rsidR="00D65578" w:rsidRPr="00D65578" w:rsidRDefault="00D65578" w:rsidP="00D65578">
            <w:pPr>
              <w:jc w:val="right"/>
              <w:rPr>
                <w:rFonts w:asciiTheme="minorHAnsi" w:hAnsiTheme="minorHAnsi"/>
                <w:b/>
                <w:sz w:val="20"/>
                <w:szCs w:val="20"/>
              </w:rPr>
            </w:pPr>
            <w:r w:rsidRPr="00D65578">
              <w:rPr>
                <w:rFonts w:asciiTheme="minorHAnsi" w:hAnsiTheme="minorHAnsi"/>
                <w:b/>
                <w:sz w:val="20"/>
                <w:szCs w:val="20"/>
              </w:rPr>
              <w:t>151.161</w:t>
            </w:r>
          </w:p>
        </w:tc>
        <w:tc>
          <w:tcPr>
            <w:tcW w:w="686" w:type="pct"/>
            <w:tcBorders>
              <w:top w:val="nil"/>
              <w:left w:val="nil"/>
              <w:bottom w:val="single" w:sz="8" w:space="0" w:color="FFFFFF"/>
              <w:right w:val="single" w:sz="8" w:space="0" w:color="FFFFFF"/>
            </w:tcBorders>
            <w:shd w:val="clear" w:color="000000" w:fill="DCE6F1"/>
            <w:noWrap/>
            <w:hideMark/>
          </w:tcPr>
          <w:p w:rsidR="00D65578" w:rsidRPr="00D65578" w:rsidRDefault="00D65578" w:rsidP="00D65578">
            <w:pPr>
              <w:jc w:val="right"/>
              <w:rPr>
                <w:rFonts w:asciiTheme="minorHAnsi" w:hAnsiTheme="minorHAnsi"/>
                <w:b/>
                <w:sz w:val="20"/>
                <w:szCs w:val="20"/>
              </w:rPr>
            </w:pPr>
            <w:r w:rsidRPr="00D65578">
              <w:rPr>
                <w:rFonts w:asciiTheme="minorHAnsi" w:hAnsiTheme="minorHAnsi"/>
                <w:b/>
                <w:sz w:val="20"/>
                <w:szCs w:val="20"/>
              </w:rPr>
              <w:t>127.550</w:t>
            </w:r>
          </w:p>
        </w:tc>
        <w:tc>
          <w:tcPr>
            <w:tcW w:w="700" w:type="pct"/>
            <w:tcBorders>
              <w:top w:val="nil"/>
              <w:left w:val="nil"/>
              <w:bottom w:val="single" w:sz="8" w:space="0" w:color="FFFFFF"/>
              <w:right w:val="single" w:sz="8" w:space="0" w:color="FFFFFF"/>
            </w:tcBorders>
            <w:shd w:val="clear" w:color="000000" w:fill="DCE6F1"/>
            <w:noWrap/>
            <w:hideMark/>
          </w:tcPr>
          <w:p w:rsidR="00D65578" w:rsidRPr="00D65578" w:rsidRDefault="00D65578" w:rsidP="00D65578">
            <w:pPr>
              <w:jc w:val="right"/>
              <w:rPr>
                <w:rFonts w:asciiTheme="minorHAnsi" w:hAnsiTheme="minorHAnsi"/>
                <w:b/>
                <w:sz w:val="20"/>
                <w:szCs w:val="20"/>
              </w:rPr>
            </w:pPr>
            <w:r w:rsidRPr="00D65578">
              <w:rPr>
                <w:rFonts w:asciiTheme="minorHAnsi" w:hAnsiTheme="minorHAnsi"/>
                <w:b/>
                <w:sz w:val="20"/>
                <w:szCs w:val="20"/>
              </w:rPr>
              <w:t>174.569</w:t>
            </w:r>
          </w:p>
        </w:tc>
        <w:tc>
          <w:tcPr>
            <w:tcW w:w="957" w:type="pct"/>
            <w:tcBorders>
              <w:top w:val="nil"/>
              <w:left w:val="nil"/>
              <w:bottom w:val="single" w:sz="8" w:space="0" w:color="FFFFFF"/>
              <w:right w:val="single" w:sz="8" w:space="0" w:color="FFFFFF"/>
            </w:tcBorders>
            <w:shd w:val="clear" w:color="000000" w:fill="DCE6F1"/>
            <w:noWrap/>
            <w:hideMark/>
          </w:tcPr>
          <w:p w:rsidR="00D65578" w:rsidRPr="00D65578" w:rsidRDefault="003C2A84" w:rsidP="00D65578">
            <w:pPr>
              <w:jc w:val="right"/>
              <w:rPr>
                <w:rFonts w:asciiTheme="minorHAnsi" w:hAnsiTheme="minorHAnsi"/>
                <w:b/>
                <w:sz w:val="20"/>
                <w:szCs w:val="20"/>
              </w:rPr>
            </w:pPr>
            <w:r>
              <w:rPr>
                <w:rFonts w:asciiTheme="minorHAnsi" w:hAnsiTheme="minorHAnsi"/>
                <w:b/>
                <w:sz w:val="20"/>
                <w:szCs w:val="20"/>
              </w:rPr>
              <w:t>126</w:t>
            </w:r>
            <w:r w:rsidR="00D65578" w:rsidRPr="00D65578">
              <w:rPr>
                <w:rFonts w:asciiTheme="minorHAnsi" w:hAnsiTheme="minorHAnsi"/>
                <w:b/>
                <w:sz w:val="20"/>
                <w:szCs w:val="20"/>
              </w:rPr>
              <w:t>.795</w:t>
            </w:r>
          </w:p>
        </w:tc>
      </w:tr>
    </w:tbl>
    <w:p w:rsidR="002E7532" w:rsidRDefault="002E7532" w:rsidP="002E7532">
      <w:pPr>
        <w:jc w:val="both"/>
        <w:rPr>
          <w:rFonts w:ascii="Arial" w:hAnsi="Arial" w:cs="Arial"/>
          <w:bCs/>
          <w:color w:val="0070C0"/>
          <w:sz w:val="20"/>
          <w:szCs w:val="20"/>
          <w:lang w:val="es-ES"/>
        </w:rPr>
      </w:pPr>
    </w:p>
    <w:p w:rsidR="00D65578" w:rsidRPr="00C468FD" w:rsidRDefault="00D65578" w:rsidP="002E7532">
      <w:pPr>
        <w:jc w:val="both"/>
        <w:rPr>
          <w:rFonts w:ascii="Arial" w:hAnsi="Arial" w:cs="Arial"/>
          <w:bCs/>
          <w:color w:val="0070C0"/>
          <w:sz w:val="20"/>
          <w:szCs w:val="20"/>
          <w:lang w:val="es-ES"/>
        </w:rPr>
      </w:pPr>
      <w:r w:rsidRPr="002D7612">
        <w:rPr>
          <w:rFonts w:ascii="Arial" w:hAnsi="Arial" w:cs="Arial"/>
          <w:bCs/>
          <w:color w:val="FF0000"/>
          <w:sz w:val="20"/>
          <w:szCs w:val="20"/>
          <w:lang w:val="es-ES"/>
        </w:rPr>
        <w:t>(*)</w:t>
      </w:r>
      <w:r>
        <w:rPr>
          <w:rFonts w:ascii="Arial" w:hAnsi="Arial" w:cs="Arial"/>
          <w:bCs/>
          <w:color w:val="0070C0"/>
          <w:sz w:val="20"/>
          <w:szCs w:val="20"/>
          <w:lang w:val="es-ES"/>
        </w:rPr>
        <w:t xml:space="preserve"> </w:t>
      </w:r>
      <w:r w:rsidRPr="002D7612">
        <w:rPr>
          <w:rFonts w:ascii="Arial" w:hAnsi="Arial" w:cs="Arial"/>
          <w:bCs/>
          <w:sz w:val="20"/>
          <w:szCs w:val="20"/>
          <w:lang w:val="es-ES"/>
        </w:rPr>
        <w:t xml:space="preserve">Datos proforma de Deuda Financiero del Grupo Adveo, considerando, sobre la base a 30 de junio de 2016, los efectos de la ampliación de capital y la venta de determinados productos de “Tinta y </w:t>
      </w:r>
      <w:proofErr w:type="spellStart"/>
      <w:r w:rsidRPr="002D7612">
        <w:rPr>
          <w:rFonts w:ascii="Arial" w:hAnsi="Arial" w:cs="Arial"/>
          <w:bCs/>
          <w:sz w:val="20"/>
          <w:szCs w:val="20"/>
          <w:lang w:val="es-ES"/>
        </w:rPr>
        <w:t>Toner</w:t>
      </w:r>
      <w:proofErr w:type="spellEnd"/>
      <w:r w:rsidRPr="002D7612">
        <w:rPr>
          <w:rFonts w:ascii="Arial" w:hAnsi="Arial" w:cs="Arial"/>
          <w:bCs/>
          <w:sz w:val="20"/>
          <w:szCs w:val="20"/>
          <w:lang w:val="es-ES"/>
        </w:rPr>
        <w:t>” a WestCoast, Ltd, acaecidos entre la fecha d</w:t>
      </w:r>
      <w:r w:rsidR="002D7612" w:rsidRPr="002D7612">
        <w:rPr>
          <w:rFonts w:ascii="Arial" w:hAnsi="Arial" w:cs="Arial"/>
          <w:bCs/>
          <w:sz w:val="20"/>
          <w:szCs w:val="20"/>
          <w:lang w:val="es-ES"/>
        </w:rPr>
        <w:t>e cierre de los estados financier</w:t>
      </w:r>
      <w:r w:rsidRPr="002D7612">
        <w:rPr>
          <w:rFonts w:ascii="Arial" w:hAnsi="Arial" w:cs="Arial"/>
          <w:bCs/>
          <w:sz w:val="20"/>
          <w:szCs w:val="20"/>
          <w:lang w:val="es-ES"/>
        </w:rPr>
        <w:t xml:space="preserve">os intermedios y la fecha de publicación. </w:t>
      </w:r>
    </w:p>
    <w:p w:rsidR="00C468FD" w:rsidRPr="002E7532" w:rsidRDefault="00C468FD" w:rsidP="002E7532">
      <w:pPr>
        <w:autoSpaceDE w:val="0"/>
        <w:autoSpaceDN w:val="0"/>
        <w:adjustRightInd w:val="0"/>
        <w:jc w:val="both"/>
        <w:rPr>
          <w:rFonts w:ascii="Arial" w:hAnsi="Arial" w:cs="Arial"/>
          <w:lang w:val="es-ES_tradnl"/>
        </w:rPr>
      </w:pPr>
    </w:p>
    <w:p w:rsidR="00C468FD" w:rsidRPr="002E7532" w:rsidRDefault="00C468FD" w:rsidP="002E7532">
      <w:pPr>
        <w:autoSpaceDE w:val="0"/>
        <w:autoSpaceDN w:val="0"/>
        <w:adjustRightInd w:val="0"/>
        <w:jc w:val="both"/>
        <w:rPr>
          <w:rFonts w:ascii="Arial" w:hAnsi="Arial" w:cs="Arial"/>
          <w:lang w:val="es-ES_tradnl"/>
        </w:rPr>
      </w:pPr>
      <w:r w:rsidRPr="002E7532">
        <w:rPr>
          <w:rFonts w:ascii="Arial" w:hAnsi="Arial" w:cs="Arial"/>
          <w:lang w:val="es-ES_tradnl"/>
        </w:rPr>
        <w:t>Con fecha 27 de julio de 2016 se ha practicado el primer pago de la amortización ordinaria establecida en el contrato de la financiación sindicada, por importe de 10 millones de euros. Adicionalmente se realizó una amortización extraordinaria acordada con las Entidades Participantes de 4 millones de Euros, derivada de la enajenación de un activo inmobiliario, realizada el mismo día 27 de Julio, quedando el resto del calendario de amortizaciones sin modificaciones y de acuerdo al contrato original firmado con fecha 27 de Enero de 2015</w:t>
      </w:r>
      <w:r w:rsidR="002D7612">
        <w:rPr>
          <w:rFonts w:ascii="Arial" w:hAnsi="Arial" w:cs="Arial"/>
          <w:lang w:val="es-ES_tradnl"/>
        </w:rPr>
        <w:t>.</w:t>
      </w:r>
    </w:p>
    <w:p w:rsidR="00C468FD" w:rsidRPr="002E7532" w:rsidRDefault="00C468FD" w:rsidP="002E7532">
      <w:pPr>
        <w:autoSpaceDE w:val="0"/>
        <w:autoSpaceDN w:val="0"/>
        <w:adjustRightInd w:val="0"/>
        <w:jc w:val="both"/>
        <w:rPr>
          <w:rFonts w:ascii="Arial" w:hAnsi="Arial" w:cs="Arial"/>
          <w:lang w:val="es-ES_tradnl"/>
        </w:rPr>
      </w:pPr>
    </w:p>
    <w:p w:rsidR="00A24DF7" w:rsidRPr="0078116A" w:rsidRDefault="00A24DF7" w:rsidP="00A24DF7">
      <w:pPr>
        <w:autoSpaceDE w:val="0"/>
        <w:autoSpaceDN w:val="0"/>
        <w:adjustRightInd w:val="0"/>
        <w:jc w:val="both"/>
        <w:rPr>
          <w:rFonts w:ascii="Arial" w:hAnsi="Arial" w:cs="Arial"/>
          <w:b/>
          <w:bCs/>
          <w:lang w:val="es-ES_tradnl"/>
        </w:rPr>
      </w:pPr>
    </w:p>
    <w:p w:rsidR="00A24DF7" w:rsidRPr="0078116A" w:rsidRDefault="00A24DF7" w:rsidP="00A24DF7">
      <w:pPr>
        <w:numPr>
          <w:ilvl w:val="0"/>
          <w:numId w:val="1"/>
        </w:numPr>
        <w:autoSpaceDE w:val="0"/>
        <w:autoSpaceDN w:val="0"/>
        <w:adjustRightInd w:val="0"/>
        <w:jc w:val="both"/>
        <w:rPr>
          <w:rFonts w:ascii="Arial" w:hAnsi="Arial" w:cs="Arial"/>
          <w:b/>
          <w:bCs/>
          <w:lang w:val="es-ES_tradnl"/>
        </w:rPr>
      </w:pPr>
      <w:r w:rsidRPr="0078116A">
        <w:rPr>
          <w:rFonts w:ascii="Arial" w:hAnsi="Arial" w:cs="Arial"/>
          <w:b/>
          <w:bCs/>
          <w:lang w:val="es-ES_tradnl"/>
        </w:rPr>
        <w:t>Dividendos pagados</w:t>
      </w:r>
    </w:p>
    <w:p w:rsidR="00A24DF7" w:rsidRPr="0078116A" w:rsidRDefault="00A24DF7" w:rsidP="00A24DF7">
      <w:pPr>
        <w:autoSpaceDE w:val="0"/>
        <w:autoSpaceDN w:val="0"/>
        <w:adjustRightInd w:val="0"/>
        <w:jc w:val="both"/>
        <w:rPr>
          <w:rFonts w:ascii="Arial" w:hAnsi="Arial" w:cs="Arial"/>
          <w:b/>
          <w:bCs/>
          <w:lang w:val="es-ES_tradnl"/>
        </w:rPr>
      </w:pPr>
    </w:p>
    <w:p w:rsidR="00A24DF7" w:rsidRDefault="00A24DF7" w:rsidP="00A24DF7">
      <w:pPr>
        <w:autoSpaceDE w:val="0"/>
        <w:autoSpaceDN w:val="0"/>
        <w:adjustRightInd w:val="0"/>
        <w:jc w:val="both"/>
        <w:rPr>
          <w:rFonts w:ascii="Arial" w:hAnsi="Arial" w:cs="Arial"/>
          <w:bCs/>
          <w:lang w:val="es-ES_tradnl"/>
        </w:rPr>
      </w:pPr>
      <w:r w:rsidRPr="0078116A">
        <w:rPr>
          <w:rFonts w:ascii="Arial" w:hAnsi="Arial" w:cs="Arial"/>
          <w:bCs/>
          <w:lang w:val="es-ES_tradnl"/>
        </w:rPr>
        <w:t>La información correspondiente a los dividendos pagados ha sido desglosada en</w:t>
      </w:r>
      <w:r>
        <w:rPr>
          <w:rFonts w:ascii="Arial" w:hAnsi="Arial" w:cs="Arial"/>
          <w:bCs/>
          <w:lang w:val="es-ES_tradnl"/>
        </w:rPr>
        <w:t xml:space="preserve"> el presente Informe Financiero</w:t>
      </w:r>
      <w:r w:rsidRPr="0078116A">
        <w:rPr>
          <w:rFonts w:ascii="Arial" w:hAnsi="Arial" w:cs="Arial"/>
          <w:bCs/>
          <w:lang w:val="es-ES_tradnl"/>
        </w:rPr>
        <w:t xml:space="preserve">, en concreto en su capítulo IV – Información Financiera Seleccionada, apartado 12. </w:t>
      </w:r>
    </w:p>
    <w:p w:rsidR="00A24DF7" w:rsidRDefault="00A24DF7" w:rsidP="00A24DF7">
      <w:pPr>
        <w:autoSpaceDE w:val="0"/>
        <w:autoSpaceDN w:val="0"/>
        <w:adjustRightInd w:val="0"/>
        <w:jc w:val="both"/>
        <w:rPr>
          <w:rFonts w:ascii="Arial" w:hAnsi="Arial" w:cs="Arial"/>
          <w:bCs/>
          <w:lang w:val="es-ES_tradnl"/>
        </w:rPr>
      </w:pPr>
    </w:p>
    <w:p w:rsidR="00A24DF7" w:rsidRDefault="00A24DF7" w:rsidP="00A24DF7">
      <w:pPr>
        <w:autoSpaceDE w:val="0"/>
        <w:autoSpaceDN w:val="0"/>
        <w:adjustRightInd w:val="0"/>
        <w:jc w:val="both"/>
        <w:rPr>
          <w:rFonts w:ascii="Arial" w:hAnsi="Arial" w:cs="Arial"/>
          <w:bCs/>
          <w:lang w:val="es-ES_tradnl"/>
        </w:rPr>
      </w:pPr>
      <w:r>
        <w:rPr>
          <w:rFonts w:ascii="Arial" w:hAnsi="Arial" w:cs="Arial"/>
          <w:bCs/>
          <w:lang w:val="es-ES_tradnl"/>
        </w:rPr>
        <w:t>La Junta General de Accionistas de Adveo Group International, S.A. en su reunión celebrada el 26 de junio de 2015 acordó la distribución de un dividendo sobre el resultado del ejercicio 2014 de 0,42 euros por acción (5</w:t>
      </w:r>
      <w:r w:rsidR="001E12C7">
        <w:rPr>
          <w:rFonts w:ascii="Arial" w:hAnsi="Arial" w:cs="Arial"/>
          <w:bCs/>
          <w:lang w:val="es-ES_tradnl"/>
        </w:rPr>
        <w:t>,4 millones de euros.</w:t>
      </w:r>
      <w:r>
        <w:rPr>
          <w:rFonts w:ascii="Arial" w:hAnsi="Arial" w:cs="Arial"/>
          <w:bCs/>
          <w:lang w:val="es-ES_tradnl"/>
        </w:rPr>
        <w:t xml:space="preserve"> Sobre esta cantidad se había satisfecho un dividendo a cue</w:t>
      </w:r>
      <w:r w:rsidR="001E12C7">
        <w:rPr>
          <w:rFonts w:ascii="Arial" w:hAnsi="Arial" w:cs="Arial"/>
          <w:bCs/>
          <w:lang w:val="es-ES_tradnl"/>
        </w:rPr>
        <w:t>nta de 0,14 euros por acción (1,8 millones de euros)</w:t>
      </w:r>
      <w:r>
        <w:rPr>
          <w:rFonts w:ascii="Arial" w:hAnsi="Arial" w:cs="Arial"/>
          <w:bCs/>
          <w:lang w:val="es-ES_tradnl"/>
        </w:rPr>
        <w:t xml:space="preserve"> en el mes de marzo de 2015.</w:t>
      </w:r>
    </w:p>
    <w:p w:rsidR="00A24DF7" w:rsidRDefault="00A24DF7" w:rsidP="00A24DF7">
      <w:pPr>
        <w:autoSpaceDE w:val="0"/>
        <w:autoSpaceDN w:val="0"/>
        <w:adjustRightInd w:val="0"/>
        <w:jc w:val="both"/>
        <w:rPr>
          <w:rFonts w:ascii="Arial" w:hAnsi="Arial" w:cs="Arial"/>
          <w:bCs/>
          <w:lang w:val="es-ES_tradnl"/>
        </w:rPr>
      </w:pPr>
    </w:p>
    <w:p w:rsidR="00A24DF7" w:rsidRDefault="001E12C7" w:rsidP="00A24DF7">
      <w:pPr>
        <w:autoSpaceDE w:val="0"/>
        <w:autoSpaceDN w:val="0"/>
        <w:adjustRightInd w:val="0"/>
        <w:jc w:val="both"/>
        <w:rPr>
          <w:rFonts w:ascii="Arial" w:hAnsi="Arial" w:cs="Arial"/>
          <w:bCs/>
          <w:lang w:val="es-ES_tradnl"/>
        </w:rPr>
      </w:pPr>
      <w:r w:rsidRPr="001E12C7">
        <w:rPr>
          <w:rFonts w:ascii="Arial" w:hAnsi="Arial" w:cs="Arial"/>
          <w:bCs/>
          <w:lang w:val="es-ES_tradnl"/>
        </w:rPr>
        <w:t xml:space="preserve">Tras la </w:t>
      </w:r>
      <w:r w:rsidR="009E62C2" w:rsidRPr="001E12C7">
        <w:rPr>
          <w:rFonts w:ascii="Arial" w:hAnsi="Arial" w:cs="Arial"/>
          <w:bCs/>
          <w:lang w:val="es-ES_tradnl"/>
        </w:rPr>
        <w:t xml:space="preserve">dispensa otorgada por las entidades financieras en 2016 se ha autorizado el </w:t>
      </w:r>
      <w:r w:rsidR="00A24DF7" w:rsidRPr="001E12C7">
        <w:rPr>
          <w:rFonts w:ascii="Arial" w:hAnsi="Arial" w:cs="Arial"/>
          <w:bCs/>
          <w:lang w:val="es-ES_tradnl"/>
        </w:rPr>
        <w:t xml:space="preserve">importe </w:t>
      </w:r>
      <w:r w:rsidR="009E62C2" w:rsidRPr="001E12C7">
        <w:rPr>
          <w:rFonts w:ascii="Arial" w:hAnsi="Arial" w:cs="Arial"/>
          <w:bCs/>
          <w:lang w:val="es-ES_tradnl"/>
        </w:rPr>
        <w:t>de</w:t>
      </w:r>
      <w:r w:rsidRPr="001E12C7">
        <w:rPr>
          <w:rFonts w:ascii="Arial" w:hAnsi="Arial" w:cs="Arial"/>
          <w:bCs/>
          <w:lang w:val="es-ES_tradnl"/>
        </w:rPr>
        <w:t>l</w:t>
      </w:r>
      <w:r w:rsidR="009E62C2" w:rsidRPr="001E12C7">
        <w:rPr>
          <w:rFonts w:ascii="Arial" w:hAnsi="Arial" w:cs="Arial"/>
          <w:bCs/>
          <w:lang w:val="es-ES_tradnl"/>
        </w:rPr>
        <w:t xml:space="preserve"> dividendo complementario de 0,28€ por acción, que ha sido abonado </w:t>
      </w:r>
      <w:r w:rsidRPr="001E12C7">
        <w:rPr>
          <w:rFonts w:ascii="Arial" w:hAnsi="Arial" w:cs="Arial"/>
          <w:bCs/>
          <w:lang w:val="es-ES_tradnl"/>
        </w:rPr>
        <w:t>en junio de 2016 (2,9</w:t>
      </w:r>
      <w:r w:rsidR="009E62C2" w:rsidRPr="001E12C7">
        <w:rPr>
          <w:rFonts w:ascii="Arial" w:hAnsi="Arial" w:cs="Arial"/>
          <w:bCs/>
          <w:lang w:val="es-ES_tradnl"/>
        </w:rPr>
        <w:t xml:space="preserve"> millones de euros por su importe neto, mientras la</w:t>
      </w:r>
      <w:r w:rsidRPr="001E12C7">
        <w:rPr>
          <w:rFonts w:ascii="Arial" w:hAnsi="Arial" w:cs="Arial"/>
          <w:bCs/>
          <w:lang w:val="es-ES_tradnl"/>
        </w:rPr>
        <w:t>s retenciones por importe de 0,7</w:t>
      </w:r>
      <w:r w:rsidR="009E62C2" w:rsidRPr="001E12C7">
        <w:rPr>
          <w:rFonts w:ascii="Arial" w:hAnsi="Arial" w:cs="Arial"/>
          <w:bCs/>
          <w:lang w:val="es-ES_tradnl"/>
        </w:rPr>
        <w:t xml:space="preserve"> millones de euros han sido liquidadas en julio de 2016).</w:t>
      </w:r>
    </w:p>
    <w:p w:rsidR="004944F1" w:rsidRDefault="004944F1">
      <w:pPr>
        <w:spacing w:after="200" w:line="276" w:lineRule="auto"/>
        <w:rPr>
          <w:rFonts w:ascii="Arial" w:hAnsi="Arial" w:cs="Arial"/>
          <w:lang w:val="es-ES_tradnl"/>
        </w:rPr>
      </w:pPr>
      <w:r>
        <w:rPr>
          <w:rFonts w:ascii="Arial" w:hAnsi="Arial" w:cs="Arial"/>
          <w:lang w:val="es-ES_tradnl"/>
        </w:rPr>
        <w:br w:type="page"/>
      </w:r>
    </w:p>
    <w:p w:rsidR="00A24DF7" w:rsidRPr="001A3BCA" w:rsidRDefault="00A24DF7" w:rsidP="00A24DF7">
      <w:pPr>
        <w:autoSpaceDE w:val="0"/>
        <w:autoSpaceDN w:val="0"/>
        <w:adjustRightInd w:val="0"/>
        <w:jc w:val="both"/>
        <w:rPr>
          <w:rFonts w:ascii="Arial" w:hAnsi="Arial" w:cs="Arial"/>
          <w:lang w:val="es-ES_tradnl"/>
        </w:rPr>
      </w:pPr>
    </w:p>
    <w:p w:rsidR="00A24DF7" w:rsidRPr="0078116A" w:rsidRDefault="00A24DF7" w:rsidP="00A24DF7">
      <w:pPr>
        <w:numPr>
          <w:ilvl w:val="0"/>
          <w:numId w:val="1"/>
        </w:numPr>
        <w:autoSpaceDE w:val="0"/>
        <w:autoSpaceDN w:val="0"/>
        <w:adjustRightInd w:val="0"/>
        <w:jc w:val="both"/>
        <w:rPr>
          <w:rFonts w:ascii="Arial" w:hAnsi="Arial" w:cs="Arial"/>
          <w:b/>
          <w:bCs/>
          <w:lang w:val="es-ES_tradnl"/>
        </w:rPr>
      </w:pPr>
      <w:r>
        <w:rPr>
          <w:rFonts w:ascii="Arial" w:hAnsi="Arial" w:cs="Arial"/>
          <w:b/>
          <w:bCs/>
          <w:lang w:val="es-ES_tradnl"/>
        </w:rPr>
        <w:t>Acciones propias</w:t>
      </w:r>
    </w:p>
    <w:p w:rsidR="00A24DF7" w:rsidRDefault="00A24DF7" w:rsidP="00A24DF7">
      <w:pPr>
        <w:autoSpaceDE w:val="0"/>
        <w:autoSpaceDN w:val="0"/>
        <w:adjustRightInd w:val="0"/>
        <w:jc w:val="both"/>
        <w:rPr>
          <w:rFonts w:ascii="Arial" w:hAnsi="Arial" w:cs="Arial"/>
          <w:lang w:val="es-ES_tradnl"/>
        </w:rPr>
      </w:pPr>
    </w:p>
    <w:p w:rsidR="00A24DF7" w:rsidRDefault="00A24DF7" w:rsidP="00A24DF7">
      <w:pPr>
        <w:autoSpaceDE w:val="0"/>
        <w:autoSpaceDN w:val="0"/>
        <w:adjustRightInd w:val="0"/>
        <w:jc w:val="both"/>
        <w:rPr>
          <w:rFonts w:ascii="Arial" w:hAnsi="Arial" w:cs="Arial"/>
          <w:lang w:val="es-ES_tradnl"/>
        </w:rPr>
      </w:pPr>
      <w:r w:rsidRPr="003A747E">
        <w:rPr>
          <w:rFonts w:ascii="Arial" w:hAnsi="Arial" w:cs="Arial"/>
          <w:lang w:val="es-ES_tradnl"/>
        </w:rPr>
        <w:t xml:space="preserve">Al </w:t>
      </w:r>
      <w:r w:rsidR="009E62C2">
        <w:rPr>
          <w:rFonts w:ascii="Arial" w:hAnsi="Arial" w:cs="Arial"/>
          <w:lang w:val="es-ES_tradnl"/>
        </w:rPr>
        <w:t xml:space="preserve">30 de junio de 2016 , al igual que a </w:t>
      </w:r>
      <w:r w:rsidRPr="003A747E">
        <w:rPr>
          <w:rFonts w:ascii="Arial" w:hAnsi="Arial" w:cs="Arial"/>
          <w:lang w:val="es-ES_tradnl"/>
        </w:rPr>
        <w:t xml:space="preserve">31 de diciembre de 2015 la Sociedad mantiene 84.500 acciones propias que representan el </w:t>
      </w:r>
      <w:r>
        <w:rPr>
          <w:rFonts w:ascii="Arial" w:hAnsi="Arial" w:cs="Arial"/>
          <w:lang w:val="es-ES_tradnl"/>
        </w:rPr>
        <w:t>0,4356 %</w:t>
      </w:r>
      <w:r w:rsidRPr="003A747E">
        <w:rPr>
          <w:rFonts w:ascii="Arial" w:hAnsi="Arial" w:cs="Arial"/>
          <w:lang w:val="es-ES_tradnl"/>
        </w:rPr>
        <w:t xml:space="preserve"> del capital social y con un valor contable de 1,7 millones de euros.</w:t>
      </w:r>
      <w:r w:rsidR="009E62C2">
        <w:rPr>
          <w:rFonts w:ascii="Arial" w:hAnsi="Arial" w:cs="Arial"/>
          <w:lang w:val="es-ES_tradnl"/>
        </w:rPr>
        <w:t xml:space="preserve"> </w:t>
      </w:r>
    </w:p>
    <w:p w:rsidR="009E62C2" w:rsidRDefault="009E62C2" w:rsidP="00A24DF7">
      <w:pPr>
        <w:autoSpaceDE w:val="0"/>
        <w:autoSpaceDN w:val="0"/>
        <w:adjustRightInd w:val="0"/>
        <w:jc w:val="both"/>
        <w:rPr>
          <w:rFonts w:ascii="Arial" w:hAnsi="Arial" w:cs="Arial"/>
          <w:lang w:val="es-ES_tradnl"/>
        </w:rPr>
      </w:pPr>
    </w:p>
    <w:p w:rsidR="00A24DF7" w:rsidRDefault="009E62C2" w:rsidP="00A24DF7">
      <w:pPr>
        <w:autoSpaceDE w:val="0"/>
        <w:autoSpaceDN w:val="0"/>
        <w:adjustRightInd w:val="0"/>
        <w:jc w:val="both"/>
        <w:rPr>
          <w:rFonts w:ascii="Arial" w:hAnsi="Arial" w:cs="Arial"/>
          <w:lang w:val="es-ES_tradnl"/>
        </w:rPr>
      </w:pPr>
      <w:r>
        <w:rPr>
          <w:rFonts w:ascii="Arial" w:hAnsi="Arial" w:cs="Arial"/>
          <w:lang w:val="es-ES_tradnl"/>
        </w:rPr>
        <w:t>No se han producido movimientos de autocartera durante el primer semestre del ejercicio 2016.</w:t>
      </w:r>
    </w:p>
    <w:p w:rsidR="00A24DF7" w:rsidRDefault="00A24DF7" w:rsidP="00A24DF7">
      <w:pPr>
        <w:autoSpaceDE w:val="0"/>
        <w:autoSpaceDN w:val="0"/>
        <w:adjustRightInd w:val="0"/>
        <w:jc w:val="both"/>
        <w:rPr>
          <w:rFonts w:ascii="Arial" w:hAnsi="Arial" w:cs="Arial"/>
          <w:lang w:val="es-ES_tradnl"/>
        </w:rPr>
      </w:pPr>
    </w:p>
    <w:p w:rsidR="00A24DF7" w:rsidRDefault="00A24DF7" w:rsidP="00A24DF7">
      <w:pPr>
        <w:autoSpaceDE w:val="0"/>
        <w:autoSpaceDN w:val="0"/>
        <w:adjustRightInd w:val="0"/>
        <w:jc w:val="both"/>
        <w:rPr>
          <w:rFonts w:ascii="Arial" w:hAnsi="Arial" w:cs="Arial"/>
          <w:lang w:val="es-ES_tradnl"/>
        </w:rPr>
      </w:pPr>
    </w:p>
    <w:p w:rsidR="00A24DF7" w:rsidRPr="0078116A" w:rsidRDefault="00A24DF7" w:rsidP="00A24DF7">
      <w:pPr>
        <w:numPr>
          <w:ilvl w:val="0"/>
          <w:numId w:val="1"/>
        </w:numPr>
        <w:autoSpaceDE w:val="0"/>
        <w:autoSpaceDN w:val="0"/>
        <w:adjustRightInd w:val="0"/>
        <w:jc w:val="both"/>
        <w:rPr>
          <w:rFonts w:ascii="Arial" w:hAnsi="Arial" w:cs="Arial"/>
          <w:b/>
          <w:bCs/>
          <w:lang w:val="es-ES_tradnl"/>
        </w:rPr>
      </w:pPr>
      <w:r w:rsidRPr="0078116A">
        <w:rPr>
          <w:rFonts w:ascii="Arial" w:hAnsi="Arial" w:cs="Arial"/>
          <w:b/>
          <w:bCs/>
          <w:lang w:val="es-ES_tradnl"/>
        </w:rPr>
        <w:t>Partidas de carácter inusual, atendiendo a su naturaleza, importe o incidencia</w:t>
      </w:r>
      <w:r>
        <w:rPr>
          <w:rFonts w:ascii="Arial" w:hAnsi="Arial" w:cs="Arial"/>
          <w:b/>
          <w:bCs/>
          <w:lang w:val="es-ES_tradnl"/>
        </w:rPr>
        <w:t>.</w:t>
      </w:r>
    </w:p>
    <w:p w:rsidR="00A24DF7" w:rsidRDefault="00A24DF7" w:rsidP="00A24DF7">
      <w:pPr>
        <w:jc w:val="both"/>
        <w:rPr>
          <w:rFonts w:ascii="Arial" w:hAnsi="Arial" w:cs="Arial"/>
          <w:lang w:val="es-ES_tradnl"/>
        </w:rPr>
      </w:pPr>
    </w:p>
    <w:p w:rsidR="00B819A3" w:rsidRDefault="00B819A3" w:rsidP="00B819A3">
      <w:pPr>
        <w:autoSpaceDE w:val="0"/>
        <w:autoSpaceDN w:val="0"/>
        <w:adjustRightInd w:val="0"/>
        <w:jc w:val="both"/>
        <w:rPr>
          <w:rFonts w:ascii="Arial" w:hAnsi="Arial" w:cs="Arial"/>
          <w:lang w:val="es-ES_tradnl"/>
        </w:rPr>
      </w:pPr>
      <w:r w:rsidRPr="00B819A3">
        <w:rPr>
          <w:rFonts w:ascii="Arial" w:hAnsi="Arial" w:cs="Arial"/>
          <w:lang w:val="es-ES_tradnl"/>
        </w:rPr>
        <w:t xml:space="preserve">Durante el segundo trimestre del ejercicio 2016 UNIPAPEL, S.L. ha incumplido determinadas obligaciones de pago de las cuotas de financiación así como las cuotas derivadas del contrato de arrendamiento y las obligaciones de suministro de mercaderías. </w:t>
      </w:r>
    </w:p>
    <w:p w:rsidR="00B819A3" w:rsidRPr="00B819A3" w:rsidRDefault="00B819A3" w:rsidP="00B819A3">
      <w:pPr>
        <w:autoSpaceDE w:val="0"/>
        <w:autoSpaceDN w:val="0"/>
        <w:adjustRightInd w:val="0"/>
        <w:jc w:val="both"/>
        <w:rPr>
          <w:rFonts w:ascii="Arial" w:hAnsi="Arial" w:cs="Arial"/>
          <w:lang w:val="es-ES_tradnl"/>
        </w:rPr>
      </w:pPr>
    </w:p>
    <w:p w:rsidR="00B819A3" w:rsidRDefault="00B819A3" w:rsidP="00B819A3">
      <w:pPr>
        <w:autoSpaceDE w:val="0"/>
        <w:autoSpaceDN w:val="0"/>
        <w:adjustRightInd w:val="0"/>
        <w:jc w:val="both"/>
        <w:rPr>
          <w:rFonts w:ascii="Arial" w:hAnsi="Arial" w:cs="Arial"/>
          <w:lang w:val="es-ES_tradnl"/>
        </w:rPr>
      </w:pPr>
      <w:r w:rsidRPr="00B819A3">
        <w:rPr>
          <w:rFonts w:ascii="Arial" w:hAnsi="Arial" w:cs="Arial"/>
          <w:lang w:val="es-ES_tradnl"/>
        </w:rPr>
        <w:t>En este periodo UNIPAPEL, S.L. ha adoptado determinadas medidas de índole laboral (sendos expedientes de regulación de empleo, tanto temporal como de extinción) y se ha acogido supuestamente al mecanismo de protección previsto en el artículo 5 bis de la Ley Concursal. A fecha del presente documento, ADVEO no ha sido notificada de que UNIPAPEL haya devenido en concurso.</w:t>
      </w:r>
    </w:p>
    <w:p w:rsidR="00B819A3" w:rsidRPr="00B819A3" w:rsidRDefault="00B819A3" w:rsidP="00B819A3">
      <w:pPr>
        <w:autoSpaceDE w:val="0"/>
        <w:autoSpaceDN w:val="0"/>
        <w:adjustRightInd w:val="0"/>
        <w:jc w:val="both"/>
        <w:rPr>
          <w:rFonts w:ascii="Arial" w:hAnsi="Arial" w:cs="Arial"/>
          <w:lang w:val="es-ES_tradnl"/>
        </w:rPr>
      </w:pPr>
    </w:p>
    <w:p w:rsidR="00B819A3" w:rsidRDefault="00B819A3" w:rsidP="00B819A3">
      <w:pPr>
        <w:autoSpaceDE w:val="0"/>
        <w:autoSpaceDN w:val="0"/>
        <w:adjustRightInd w:val="0"/>
        <w:jc w:val="both"/>
        <w:rPr>
          <w:rFonts w:ascii="Arial" w:hAnsi="Arial" w:cs="Arial"/>
          <w:lang w:val="es-ES_tradnl"/>
        </w:rPr>
      </w:pPr>
      <w:r w:rsidRPr="00B819A3">
        <w:rPr>
          <w:rFonts w:ascii="Arial" w:hAnsi="Arial" w:cs="Arial"/>
          <w:lang w:val="es-ES_tradnl"/>
        </w:rPr>
        <w:t>No obstante, desde el pasado mes de junio UNIPAPEL, S.L. no viene suministrando productos a ADVEO, habiendo hecho pública la adopción de expedientes de regulación de empleo de la totalidad de su plantilla, lo que nos hace suponer el abandono de la actividad por UNIPAPEL, y por tanto, la absoluta inhabilidad por parte de UNIPAPEL de seguir cumpliendo con los compromisos que le incumben en los diversos contratos con ADVEO, principalmente, la devolución de la deuda que mantiene con ésta.</w:t>
      </w:r>
    </w:p>
    <w:p w:rsidR="00B819A3" w:rsidRPr="00B819A3" w:rsidRDefault="00B819A3" w:rsidP="00B819A3">
      <w:pPr>
        <w:autoSpaceDE w:val="0"/>
        <w:autoSpaceDN w:val="0"/>
        <w:adjustRightInd w:val="0"/>
        <w:jc w:val="both"/>
        <w:rPr>
          <w:rFonts w:ascii="Arial" w:hAnsi="Arial" w:cs="Arial"/>
          <w:lang w:val="es-ES_tradnl"/>
        </w:rPr>
      </w:pPr>
    </w:p>
    <w:p w:rsidR="00B819A3" w:rsidRDefault="00B819A3" w:rsidP="00B819A3">
      <w:pPr>
        <w:autoSpaceDE w:val="0"/>
        <w:autoSpaceDN w:val="0"/>
        <w:adjustRightInd w:val="0"/>
        <w:jc w:val="both"/>
        <w:rPr>
          <w:rFonts w:ascii="Arial" w:hAnsi="Arial" w:cs="Arial"/>
          <w:lang w:val="es-ES_tradnl"/>
        </w:rPr>
      </w:pPr>
      <w:r w:rsidRPr="00B819A3">
        <w:rPr>
          <w:rFonts w:ascii="Arial" w:hAnsi="Arial" w:cs="Arial"/>
          <w:lang w:val="es-ES_tradnl"/>
        </w:rPr>
        <w:t>Adicionalmente a la comunicación de la resolución anticipada de los contratos de suministro, arrendamiento y financiación, ADVEO ha instado la ejecución de la garantía hipotecaria que, sobre la maquinaria de las fábricas, garantizaba la devolución del préstamo otorgado a UNIPAPEL en el mes de marzo de 2014, por importe de 5 millones de euros.</w:t>
      </w:r>
    </w:p>
    <w:p w:rsidR="00B819A3" w:rsidRPr="00B819A3" w:rsidRDefault="00B819A3" w:rsidP="00B819A3">
      <w:pPr>
        <w:autoSpaceDE w:val="0"/>
        <w:autoSpaceDN w:val="0"/>
        <w:adjustRightInd w:val="0"/>
        <w:jc w:val="both"/>
        <w:rPr>
          <w:rFonts w:ascii="Arial" w:hAnsi="Arial" w:cs="Arial"/>
          <w:lang w:val="es-ES_tradnl"/>
        </w:rPr>
      </w:pPr>
    </w:p>
    <w:p w:rsidR="00B819A3" w:rsidRDefault="00B819A3" w:rsidP="00B819A3">
      <w:pPr>
        <w:autoSpaceDE w:val="0"/>
        <w:autoSpaceDN w:val="0"/>
        <w:adjustRightInd w:val="0"/>
        <w:jc w:val="both"/>
        <w:rPr>
          <w:rFonts w:ascii="Arial" w:hAnsi="Arial" w:cs="Arial"/>
          <w:lang w:val="es-ES_tradnl"/>
        </w:rPr>
      </w:pPr>
      <w:r w:rsidRPr="00B819A3">
        <w:rPr>
          <w:rFonts w:ascii="Arial" w:hAnsi="Arial" w:cs="Arial"/>
          <w:lang w:val="es-ES_tradnl"/>
        </w:rPr>
        <w:t xml:space="preserve">Por ello, como consecuencia de dichas incertidumbres, a 30 de junio de 2016 ADVEO ha dotado una provisión por deterioro sobre la totalidad de su posición </w:t>
      </w:r>
      <w:r w:rsidR="00A82E09">
        <w:rPr>
          <w:rFonts w:ascii="Arial" w:hAnsi="Arial" w:cs="Arial"/>
          <w:lang w:val="es-ES_tradnl"/>
        </w:rPr>
        <w:t>contable</w:t>
      </w:r>
      <w:r w:rsidRPr="00B819A3">
        <w:rPr>
          <w:rFonts w:ascii="Arial" w:hAnsi="Arial" w:cs="Arial"/>
          <w:lang w:val="es-ES_tradnl"/>
        </w:rPr>
        <w:t xml:space="preserve"> c</w:t>
      </w:r>
      <w:r w:rsidR="00A82E09">
        <w:rPr>
          <w:rFonts w:ascii="Arial" w:hAnsi="Arial" w:cs="Arial"/>
          <w:lang w:val="es-ES_tradnl"/>
        </w:rPr>
        <w:t>on UNIPAPEL, que asciende a 16,3</w:t>
      </w:r>
      <w:r w:rsidRPr="00B819A3">
        <w:rPr>
          <w:rFonts w:ascii="Arial" w:hAnsi="Arial" w:cs="Arial"/>
          <w:lang w:val="es-ES_tradnl"/>
        </w:rPr>
        <w:t xml:space="preserve"> millones de euros a dicha fecha.</w:t>
      </w:r>
    </w:p>
    <w:p w:rsidR="00B819A3" w:rsidRPr="00B819A3" w:rsidRDefault="00B819A3" w:rsidP="00B819A3">
      <w:pPr>
        <w:autoSpaceDE w:val="0"/>
        <w:autoSpaceDN w:val="0"/>
        <w:adjustRightInd w:val="0"/>
        <w:jc w:val="both"/>
        <w:rPr>
          <w:rFonts w:ascii="Arial" w:hAnsi="Arial" w:cs="Arial"/>
          <w:lang w:val="es-ES_tradnl"/>
        </w:rPr>
      </w:pPr>
    </w:p>
    <w:p w:rsidR="009E62C2" w:rsidRPr="009E62C2" w:rsidRDefault="009E62C2" w:rsidP="009E62C2">
      <w:pPr>
        <w:autoSpaceDE w:val="0"/>
        <w:autoSpaceDN w:val="0"/>
        <w:adjustRightInd w:val="0"/>
        <w:jc w:val="both"/>
        <w:rPr>
          <w:rFonts w:ascii="Arial" w:hAnsi="Arial" w:cs="Arial"/>
          <w:lang w:val="es-ES_tradnl"/>
        </w:rPr>
      </w:pPr>
      <w:r>
        <w:rPr>
          <w:rFonts w:ascii="Arial" w:hAnsi="Arial" w:cs="Arial"/>
          <w:lang w:val="es-ES_tradnl"/>
        </w:rPr>
        <w:t xml:space="preserve">Por su parte, durante el primer semestre del ejercicio 2016 se ha vendido una nave industrial arrendada a un tercero en la localidad de </w:t>
      </w:r>
      <w:proofErr w:type="spellStart"/>
      <w:r>
        <w:rPr>
          <w:rFonts w:ascii="Arial" w:hAnsi="Arial" w:cs="Arial"/>
          <w:lang w:val="es-ES_tradnl"/>
        </w:rPr>
        <w:t>Cornellá</w:t>
      </w:r>
      <w:proofErr w:type="spellEnd"/>
      <w:r>
        <w:rPr>
          <w:rFonts w:ascii="Arial" w:hAnsi="Arial" w:cs="Arial"/>
          <w:lang w:val="es-ES_tradnl"/>
        </w:rPr>
        <w:t>, por importe de 4 millones de euros, generando una plusvalía por enajenación de inversiones inmobiliarias por 1 millón de euros.</w:t>
      </w:r>
    </w:p>
    <w:p w:rsidR="00A24DF7" w:rsidRPr="009E62C2" w:rsidRDefault="00A24DF7" w:rsidP="00A24DF7">
      <w:pPr>
        <w:jc w:val="both"/>
        <w:rPr>
          <w:rFonts w:ascii="Arial" w:hAnsi="Arial" w:cs="Arial"/>
          <w:lang w:val="es-ES"/>
        </w:rPr>
      </w:pPr>
    </w:p>
    <w:p w:rsidR="00A24DF7" w:rsidRPr="003B746A" w:rsidRDefault="00A24DF7" w:rsidP="00A24DF7">
      <w:pPr>
        <w:autoSpaceDE w:val="0"/>
        <w:autoSpaceDN w:val="0"/>
        <w:adjustRightInd w:val="0"/>
        <w:jc w:val="both"/>
        <w:rPr>
          <w:rFonts w:ascii="Arial" w:hAnsi="Arial" w:cs="Arial"/>
          <w:b/>
          <w:bCs/>
          <w:lang w:val="es-ES"/>
        </w:rPr>
      </w:pPr>
    </w:p>
    <w:p w:rsidR="00A24DF7" w:rsidRPr="0078116A" w:rsidRDefault="00A24DF7" w:rsidP="00A24DF7">
      <w:pPr>
        <w:numPr>
          <w:ilvl w:val="0"/>
          <w:numId w:val="1"/>
        </w:numPr>
        <w:autoSpaceDE w:val="0"/>
        <w:autoSpaceDN w:val="0"/>
        <w:adjustRightInd w:val="0"/>
        <w:jc w:val="both"/>
        <w:rPr>
          <w:rFonts w:ascii="Arial" w:hAnsi="Arial" w:cs="Arial"/>
          <w:b/>
          <w:bCs/>
          <w:lang w:val="es-ES_tradnl"/>
        </w:rPr>
      </w:pPr>
      <w:r w:rsidRPr="0078116A">
        <w:rPr>
          <w:rFonts w:ascii="Arial" w:hAnsi="Arial" w:cs="Arial"/>
          <w:b/>
          <w:bCs/>
          <w:lang w:val="es-ES_tradnl"/>
        </w:rPr>
        <w:t>Compromisos de compra de elementos de inmovilizado material</w:t>
      </w:r>
    </w:p>
    <w:p w:rsidR="00A24DF7" w:rsidRPr="0078116A" w:rsidRDefault="00A24DF7" w:rsidP="00A24DF7">
      <w:pPr>
        <w:autoSpaceDE w:val="0"/>
        <w:autoSpaceDN w:val="0"/>
        <w:adjustRightInd w:val="0"/>
        <w:jc w:val="both"/>
        <w:rPr>
          <w:rFonts w:ascii="Arial" w:hAnsi="Arial" w:cs="Arial"/>
          <w:b/>
          <w:bCs/>
          <w:lang w:val="es-ES_tradnl"/>
        </w:rPr>
      </w:pPr>
    </w:p>
    <w:p w:rsidR="00A24DF7" w:rsidRPr="0078116A" w:rsidRDefault="00A24DF7" w:rsidP="00A24DF7">
      <w:pPr>
        <w:autoSpaceDE w:val="0"/>
        <w:autoSpaceDN w:val="0"/>
        <w:adjustRightInd w:val="0"/>
        <w:jc w:val="both"/>
        <w:rPr>
          <w:rFonts w:ascii="Arial" w:hAnsi="Arial" w:cs="Arial"/>
          <w:bCs/>
          <w:lang w:val="es-ES_tradnl"/>
        </w:rPr>
      </w:pPr>
      <w:r w:rsidRPr="0078116A">
        <w:rPr>
          <w:rFonts w:ascii="Arial" w:hAnsi="Arial" w:cs="Arial"/>
          <w:bCs/>
          <w:lang w:val="es-ES_tradnl"/>
        </w:rPr>
        <w:t xml:space="preserve">Al </w:t>
      </w:r>
      <w:r w:rsidR="009E62C2">
        <w:rPr>
          <w:rFonts w:ascii="Arial" w:hAnsi="Arial" w:cs="Arial"/>
          <w:bCs/>
          <w:lang w:val="es-ES_tradnl"/>
        </w:rPr>
        <w:t>30 de junio de 2016</w:t>
      </w:r>
      <w:r w:rsidRPr="0078116A">
        <w:rPr>
          <w:rFonts w:ascii="Arial" w:hAnsi="Arial" w:cs="Arial"/>
          <w:bCs/>
          <w:lang w:val="es-ES_tradnl"/>
        </w:rPr>
        <w:t>, no existen compromisos de compra de elementos de inmovilizado material significativos.</w:t>
      </w:r>
    </w:p>
    <w:p w:rsidR="00A24DF7" w:rsidRDefault="00A24DF7" w:rsidP="00A24DF7">
      <w:pPr>
        <w:autoSpaceDE w:val="0"/>
        <w:autoSpaceDN w:val="0"/>
        <w:adjustRightInd w:val="0"/>
        <w:jc w:val="both"/>
        <w:rPr>
          <w:rFonts w:ascii="Arial" w:hAnsi="Arial" w:cs="Arial"/>
          <w:lang w:val="es-ES_tradnl"/>
        </w:rPr>
      </w:pPr>
    </w:p>
    <w:p w:rsidR="00A24DF7" w:rsidRPr="0078116A" w:rsidRDefault="00A24DF7" w:rsidP="00A24DF7">
      <w:pPr>
        <w:autoSpaceDE w:val="0"/>
        <w:autoSpaceDN w:val="0"/>
        <w:adjustRightInd w:val="0"/>
        <w:jc w:val="both"/>
        <w:rPr>
          <w:rFonts w:ascii="Arial" w:hAnsi="Arial" w:cs="Arial"/>
          <w:lang w:val="es-ES_tradnl"/>
        </w:rPr>
      </w:pPr>
    </w:p>
    <w:p w:rsidR="00A24DF7" w:rsidRDefault="00A24DF7" w:rsidP="00A24DF7">
      <w:pPr>
        <w:numPr>
          <w:ilvl w:val="0"/>
          <w:numId w:val="1"/>
        </w:numPr>
        <w:autoSpaceDE w:val="0"/>
        <w:autoSpaceDN w:val="0"/>
        <w:adjustRightInd w:val="0"/>
        <w:jc w:val="both"/>
        <w:rPr>
          <w:rFonts w:ascii="Arial" w:hAnsi="Arial" w:cs="Arial"/>
          <w:b/>
          <w:bCs/>
          <w:lang w:val="es-ES_tradnl"/>
        </w:rPr>
      </w:pPr>
      <w:r w:rsidRPr="0078116A">
        <w:rPr>
          <w:rFonts w:ascii="Arial" w:hAnsi="Arial" w:cs="Arial"/>
          <w:b/>
          <w:bCs/>
          <w:lang w:val="es-ES_tradnl"/>
        </w:rPr>
        <w:t>Cambios habidos en los activos y pasivos contingentes</w:t>
      </w:r>
    </w:p>
    <w:p w:rsidR="00A24DF7" w:rsidRDefault="00A24DF7" w:rsidP="00A24DF7">
      <w:pPr>
        <w:autoSpaceDE w:val="0"/>
        <w:autoSpaceDN w:val="0"/>
        <w:adjustRightInd w:val="0"/>
        <w:jc w:val="both"/>
        <w:rPr>
          <w:rFonts w:ascii="Arial" w:hAnsi="Arial" w:cs="Arial"/>
          <w:bCs/>
          <w:lang w:val="es-ES_tradnl"/>
        </w:rPr>
      </w:pPr>
    </w:p>
    <w:p w:rsidR="00A24DF7" w:rsidRDefault="00A24DF7" w:rsidP="00A24DF7">
      <w:pPr>
        <w:autoSpaceDE w:val="0"/>
        <w:autoSpaceDN w:val="0"/>
        <w:adjustRightInd w:val="0"/>
        <w:jc w:val="both"/>
        <w:rPr>
          <w:rFonts w:ascii="Arial" w:hAnsi="Arial" w:cs="Arial"/>
          <w:lang w:val="es-ES_tradnl"/>
        </w:rPr>
      </w:pPr>
      <w:r w:rsidRPr="0078116A">
        <w:rPr>
          <w:rFonts w:ascii="Arial" w:hAnsi="Arial" w:cs="Arial"/>
          <w:lang w:val="es-ES_tradnl"/>
        </w:rPr>
        <w:t>Nada significativo a destacar.</w:t>
      </w:r>
    </w:p>
    <w:p w:rsidR="00A24DF7" w:rsidRPr="00D30CC0" w:rsidRDefault="00A24DF7" w:rsidP="00A24DF7">
      <w:pPr>
        <w:autoSpaceDE w:val="0"/>
        <w:autoSpaceDN w:val="0"/>
        <w:adjustRightInd w:val="0"/>
        <w:jc w:val="both"/>
        <w:rPr>
          <w:rFonts w:ascii="Arial" w:hAnsi="Arial" w:cs="Arial"/>
          <w:bCs/>
          <w:lang w:val="es-ES_tradnl"/>
        </w:rPr>
      </w:pPr>
    </w:p>
    <w:p w:rsidR="00A24DF7" w:rsidRDefault="00A24DF7" w:rsidP="00A24DF7">
      <w:pPr>
        <w:autoSpaceDE w:val="0"/>
        <w:autoSpaceDN w:val="0"/>
        <w:adjustRightInd w:val="0"/>
        <w:ind w:left="360"/>
        <w:jc w:val="both"/>
        <w:rPr>
          <w:rFonts w:ascii="Arial" w:hAnsi="Arial" w:cs="Arial"/>
          <w:b/>
          <w:bCs/>
          <w:lang w:val="es-ES_tradnl"/>
        </w:rPr>
      </w:pPr>
    </w:p>
    <w:p w:rsidR="00A24DF7" w:rsidRDefault="00A24DF7" w:rsidP="00A24DF7">
      <w:pPr>
        <w:numPr>
          <w:ilvl w:val="0"/>
          <w:numId w:val="1"/>
        </w:numPr>
        <w:autoSpaceDE w:val="0"/>
        <w:autoSpaceDN w:val="0"/>
        <w:adjustRightInd w:val="0"/>
        <w:jc w:val="both"/>
        <w:rPr>
          <w:rFonts w:ascii="Arial" w:hAnsi="Arial" w:cs="Arial"/>
          <w:b/>
          <w:bCs/>
          <w:lang w:val="es-ES_tradnl"/>
        </w:rPr>
      </w:pPr>
      <w:r w:rsidRPr="0078116A">
        <w:rPr>
          <w:rFonts w:ascii="Arial" w:hAnsi="Arial" w:cs="Arial"/>
          <w:b/>
          <w:bCs/>
          <w:lang w:val="es-ES_tradnl"/>
        </w:rPr>
        <w:t>Transacciones con partes vinculadas</w:t>
      </w:r>
    </w:p>
    <w:p w:rsidR="00A24DF7" w:rsidRDefault="00A24DF7" w:rsidP="00A24DF7">
      <w:pPr>
        <w:autoSpaceDE w:val="0"/>
        <w:autoSpaceDN w:val="0"/>
        <w:adjustRightInd w:val="0"/>
        <w:jc w:val="both"/>
        <w:rPr>
          <w:rFonts w:ascii="Arial" w:hAnsi="Arial" w:cs="Arial"/>
          <w:b/>
          <w:bCs/>
          <w:lang w:val="es-ES_tradnl"/>
        </w:rPr>
      </w:pPr>
    </w:p>
    <w:p w:rsidR="00A24DF7" w:rsidRDefault="00A24DF7" w:rsidP="00A24DF7">
      <w:pPr>
        <w:autoSpaceDE w:val="0"/>
        <w:autoSpaceDN w:val="0"/>
        <w:adjustRightInd w:val="0"/>
        <w:jc w:val="both"/>
        <w:rPr>
          <w:rFonts w:ascii="Arial" w:hAnsi="Arial" w:cs="Arial"/>
          <w:lang w:val="es-ES_tradnl"/>
        </w:rPr>
      </w:pPr>
      <w:r w:rsidRPr="0078116A">
        <w:rPr>
          <w:rFonts w:ascii="Arial" w:hAnsi="Arial" w:cs="Arial"/>
          <w:lang w:val="es-ES_tradnl"/>
        </w:rPr>
        <w:t>Esta información ha sido desarrollada en el presente Informe Financiero, en concreto en su capítulo IV - Información financiera seleccionada, apartado 18.</w:t>
      </w:r>
    </w:p>
    <w:p w:rsidR="004F38EA" w:rsidRDefault="004F38EA" w:rsidP="00A24DF7">
      <w:pPr>
        <w:autoSpaceDE w:val="0"/>
        <w:autoSpaceDN w:val="0"/>
        <w:adjustRightInd w:val="0"/>
        <w:jc w:val="both"/>
        <w:rPr>
          <w:rFonts w:ascii="Arial" w:hAnsi="Arial" w:cs="Arial"/>
          <w:b/>
          <w:bCs/>
          <w:lang w:val="es-ES_tradnl"/>
        </w:rPr>
      </w:pPr>
    </w:p>
    <w:p w:rsidR="004F38EA" w:rsidRDefault="004F38EA" w:rsidP="00A24DF7">
      <w:pPr>
        <w:autoSpaceDE w:val="0"/>
        <w:autoSpaceDN w:val="0"/>
        <w:adjustRightInd w:val="0"/>
        <w:jc w:val="both"/>
        <w:rPr>
          <w:rFonts w:ascii="Arial" w:hAnsi="Arial" w:cs="Arial"/>
          <w:b/>
          <w:bCs/>
          <w:lang w:val="es-ES_tradnl"/>
        </w:rPr>
      </w:pPr>
    </w:p>
    <w:p w:rsidR="00A24DF7" w:rsidRPr="0078116A" w:rsidRDefault="00A24DF7" w:rsidP="00A24DF7">
      <w:pPr>
        <w:numPr>
          <w:ilvl w:val="0"/>
          <w:numId w:val="1"/>
        </w:numPr>
        <w:autoSpaceDE w:val="0"/>
        <w:autoSpaceDN w:val="0"/>
        <w:adjustRightInd w:val="0"/>
        <w:jc w:val="both"/>
        <w:rPr>
          <w:rFonts w:ascii="Arial" w:hAnsi="Arial" w:cs="Arial"/>
          <w:b/>
          <w:bCs/>
          <w:lang w:val="es-ES_tradnl"/>
        </w:rPr>
      </w:pPr>
      <w:r>
        <w:rPr>
          <w:rFonts w:ascii="Arial" w:hAnsi="Arial" w:cs="Arial"/>
          <w:b/>
          <w:bCs/>
          <w:lang w:val="es-ES_tradnl"/>
        </w:rPr>
        <w:t>Hechos posteriores</w:t>
      </w:r>
    </w:p>
    <w:p w:rsidR="002F21C4" w:rsidRDefault="002F21C4">
      <w:pPr>
        <w:rPr>
          <w:lang w:val="es-ES_tradnl"/>
        </w:rPr>
      </w:pPr>
    </w:p>
    <w:p w:rsidR="004F38EA" w:rsidRPr="004F38EA" w:rsidRDefault="004F38EA" w:rsidP="004F38EA">
      <w:pPr>
        <w:autoSpaceDE w:val="0"/>
        <w:autoSpaceDN w:val="0"/>
        <w:adjustRightInd w:val="0"/>
        <w:jc w:val="both"/>
        <w:rPr>
          <w:rFonts w:ascii="Arial" w:hAnsi="Arial" w:cs="Arial"/>
          <w:lang w:val="es-ES_tradnl"/>
        </w:rPr>
      </w:pPr>
      <w:r w:rsidRPr="004F38EA">
        <w:rPr>
          <w:rFonts w:ascii="Arial" w:hAnsi="Arial" w:cs="Arial"/>
          <w:lang w:val="es-ES_tradnl"/>
        </w:rPr>
        <w:t xml:space="preserve">Conforme se indica en el Hecho Relevante publicado el 15 de julio de 2016, el proceso de ampliación de capital ha finalizado, quedando suscritas 8.491.352 acciones por un importe efectivo total de 27.597 miles de euros, que fueron desembolsadas con fecha 19 de julio de 2016. </w:t>
      </w:r>
    </w:p>
    <w:p w:rsidR="004F38EA" w:rsidRPr="004F38EA" w:rsidRDefault="004F38EA" w:rsidP="004F38EA">
      <w:pPr>
        <w:autoSpaceDE w:val="0"/>
        <w:autoSpaceDN w:val="0"/>
        <w:adjustRightInd w:val="0"/>
        <w:jc w:val="both"/>
        <w:rPr>
          <w:rFonts w:ascii="Arial" w:hAnsi="Arial" w:cs="Arial"/>
          <w:lang w:val="es-ES_tradnl"/>
        </w:rPr>
      </w:pPr>
    </w:p>
    <w:p w:rsidR="004F38EA" w:rsidRDefault="004F38EA" w:rsidP="004F38EA">
      <w:pPr>
        <w:autoSpaceDE w:val="0"/>
        <w:autoSpaceDN w:val="0"/>
        <w:adjustRightInd w:val="0"/>
        <w:jc w:val="both"/>
        <w:rPr>
          <w:rFonts w:ascii="Arial" w:hAnsi="Arial" w:cs="Arial"/>
          <w:lang w:val="es-ES_tradnl"/>
        </w:rPr>
      </w:pPr>
      <w:r w:rsidRPr="004F38EA">
        <w:rPr>
          <w:rFonts w:ascii="Arial" w:hAnsi="Arial" w:cs="Arial"/>
          <w:lang w:val="es-ES_tradnl"/>
        </w:rPr>
        <w:t>Adicionalmente, conforme se indica en el Hecho Relevante publicado el 6 de julio de 2016, se ha formalizado el contrato de venta de determinados stocks de productos digitales con la sociedad WestCoast, Ltd</w:t>
      </w:r>
      <w:r>
        <w:rPr>
          <w:rFonts w:ascii="Arial" w:hAnsi="Arial" w:cs="Arial"/>
          <w:lang w:val="es-ES_tradnl"/>
        </w:rPr>
        <w:t xml:space="preserve">. </w:t>
      </w:r>
    </w:p>
    <w:p w:rsidR="004F38EA" w:rsidRDefault="004F38EA" w:rsidP="004F38EA">
      <w:pPr>
        <w:autoSpaceDE w:val="0"/>
        <w:autoSpaceDN w:val="0"/>
        <w:adjustRightInd w:val="0"/>
        <w:jc w:val="both"/>
        <w:rPr>
          <w:rFonts w:ascii="Arial" w:hAnsi="Arial" w:cs="Arial"/>
          <w:lang w:val="es-ES_tradnl"/>
        </w:rPr>
      </w:pPr>
    </w:p>
    <w:p w:rsidR="004F38EA" w:rsidRPr="004F38EA" w:rsidRDefault="004F38EA" w:rsidP="004F38EA">
      <w:pPr>
        <w:autoSpaceDE w:val="0"/>
        <w:autoSpaceDN w:val="0"/>
        <w:adjustRightInd w:val="0"/>
        <w:jc w:val="both"/>
        <w:rPr>
          <w:rFonts w:ascii="Arial" w:hAnsi="Arial" w:cs="Arial"/>
          <w:lang w:val="es-ES_tradnl"/>
        </w:rPr>
      </w:pPr>
      <w:r>
        <w:rPr>
          <w:rFonts w:ascii="Arial" w:hAnsi="Arial" w:cs="Arial"/>
          <w:lang w:val="es-ES_tradnl"/>
        </w:rPr>
        <w:t>Posteriormente, c</w:t>
      </w:r>
      <w:r w:rsidRPr="004F38EA">
        <w:rPr>
          <w:rFonts w:ascii="Arial" w:hAnsi="Arial" w:cs="Arial"/>
          <w:lang w:val="es-ES_tradnl"/>
        </w:rPr>
        <w:t>onforme se indica en el Hecho Relevante publicado el 26 de agosto de 2016 las partes han firmado el cierre de la operación, por un importe final de 29.458 miles de euros. Dicha venta genera un EBITDA de 4 millones de euros para el Grupo Adveo, más 1 millón de euros adicional por la venta de la marca ADIMPO.</w:t>
      </w:r>
    </w:p>
    <w:p w:rsidR="004F38EA" w:rsidRPr="004F38EA" w:rsidRDefault="004F38EA" w:rsidP="004F38EA">
      <w:pPr>
        <w:autoSpaceDE w:val="0"/>
        <w:autoSpaceDN w:val="0"/>
        <w:adjustRightInd w:val="0"/>
        <w:jc w:val="both"/>
        <w:rPr>
          <w:rFonts w:ascii="Arial" w:hAnsi="Arial" w:cs="Arial"/>
          <w:lang w:val="es-ES_tradnl"/>
        </w:rPr>
      </w:pPr>
    </w:p>
    <w:p w:rsidR="004F38EA" w:rsidRPr="004F38EA" w:rsidRDefault="004F38EA" w:rsidP="004F38EA">
      <w:pPr>
        <w:autoSpaceDE w:val="0"/>
        <w:autoSpaceDN w:val="0"/>
        <w:adjustRightInd w:val="0"/>
        <w:jc w:val="both"/>
        <w:rPr>
          <w:rFonts w:ascii="Arial" w:hAnsi="Arial" w:cs="Arial"/>
          <w:lang w:val="es-ES_tradnl"/>
        </w:rPr>
      </w:pPr>
      <w:r w:rsidRPr="004F38EA">
        <w:rPr>
          <w:rFonts w:ascii="Arial" w:hAnsi="Arial" w:cs="Arial"/>
          <w:lang w:val="es-ES_tradnl"/>
        </w:rPr>
        <w:t xml:space="preserve">A efectos de caja, la suma de ambos hechos ha aportado al Grupo Adveo liquidez por importe de 57.055 miles de euros, que ha permitido una fuerte reducción de la Deuda Financiera Neta.. </w:t>
      </w:r>
    </w:p>
    <w:p w:rsidR="004F38EA" w:rsidRPr="004F38EA" w:rsidRDefault="004F38EA" w:rsidP="004F38EA">
      <w:pPr>
        <w:autoSpaceDE w:val="0"/>
        <w:autoSpaceDN w:val="0"/>
        <w:adjustRightInd w:val="0"/>
        <w:jc w:val="both"/>
        <w:rPr>
          <w:rFonts w:ascii="Arial" w:hAnsi="Arial" w:cs="Arial"/>
          <w:lang w:val="es-ES_tradnl"/>
        </w:rPr>
      </w:pPr>
    </w:p>
    <w:p w:rsidR="004F38EA" w:rsidRPr="004F38EA" w:rsidRDefault="004F38EA" w:rsidP="004F38EA">
      <w:pPr>
        <w:autoSpaceDE w:val="0"/>
        <w:autoSpaceDN w:val="0"/>
        <w:adjustRightInd w:val="0"/>
        <w:jc w:val="both"/>
        <w:rPr>
          <w:rFonts w:ascii="Arial" w:hAnsi="Arial" w:cs="Arial"/>
          <w:lang w:val="es-ES_tradnl"/>
        </w:rPr>
      </w:pPr>
      <w:r w:rsidRPr="004F38EA">
        <w:rPr>
          <w:rFonts w:ascii="Arial" w:hAnsi="Arial" w:cs="Arial"/>
          <w:lang w:val="es-ES_tradnl"/>
        </w:rPr>
        <w:t>Con fecha 27 de julio de 2016 se ha practicado el primer pago de la amortización ordinaria establecida en el contrato de la financiación sindicada, por importe de 10 millones de euros. Adicionalmente se realizó la amortización extraordinaria acordada con las Entidades Participantes indicada anteriormente de 4 millones de Euros, real</w:t>
      </w:r>
      <w:r>
        <w:rPr>
          <w:rFonts w:ascii="Arial" w:hAnsi="Arial" w:cs="Arial"/>
          <w:lang w:val="es-ES_tradnl"/>
        </w:rPr>
        <w:t>izada el mismo día 27 de julio.</w:t>
      </w:r>
    </w:p>
    <w:p w:rsidR="004F38EA" w:rsidRPr="004F38EA" w:rsidRDefault="004F38EA" w:rsidP="004F38EA">
      <w:pPr>
        <w:autoSpaceDE w:val="0"/>
        <w:autoSpaceDN w:val="0"/>
        <w:adjustRightInd w:val="0"/>
        <w:jc w:val="both"/>
        <w:rPr>
          <w:rFonts w:ascii="Arial" w:hAnsi="Arial" w:cs="Arial"/>
          <w:lang w:val="es-ES_tradnl"/>
        </w:rPr>
      </w:pPr>
    </w:p>
    <w:p w:rsidR="004F38EA" w:rsidRPr="004F38EA" w:rsidRDefault="004F38EA" w:rsidP="004F38EA">
      <w:pPr>
        <w:autoSpaceDE w:val="0"/>
        <w:autoSpaceDN w:val="0"/>
        <w:adjustRightInd w:val="0"/>
        <w:jc w:val="both"/>
        <w:rPr>
          <w:rFonts w:ascii="Arial" w:hAnsi="Arial" w:cs="Arial"/>
          <w:lang w:val="es-ES_tradnl"/>
        </w:rPr>
      </w:pPr>
    </w:p>
    <w:p w:rsidR="009E62C2" w:rsidRPr="004F38EA" w:rsidRDefault="009E62C2" w:rsidP="004F38EA">
      <w:pPr>
        <w:autoSpaceDE w:val="0"/>
        <w:autoSpaceDN w:val="0"/>
        <w:adjustRightInd w:val="0"/>
        <w:jc w:val="both"/>
        <w:rPr>
          <w:rFonts w:ascii="Arial" w:hAnsi="Arial" w:cs="Arial"/>
          <w:lang w:val="es-ES_tradnl"/>
        </w:rPr>
      </w:pPr>
    </w:p>
    <w:sectPr w:rsidR="009E62C2" w:rsidRPr="004F38EA" w:rsidSect="00C437D5">
      <w:footerReference w:type="even" r:id="rId9"/>
      <w:footerReference w:type="default" r:id="rId10"/>
      <w:pgSz w:w="11907" w:h="16840" w:code="9"/>
      <w:pgMar w:top="1843" w:right="1797" w:bottom="1440" w:left="179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A84" w:rsidRDefault="003C2A84">
      <w:r>
        <w:separator/>
      </w:r>
    </w:p>
  </w:endnote>
  <w:endnote w:type="continuationSeparator" w:id="0">
    <w:p w:rsidR="003C2A84" w:rsidRDefault="003C2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New York">
    <w:altName w:val="Times New Roman"/>
    <w:panose1 w:val="02040503060506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A84" w:rsidRDefault="003C2A84" w:rsidP="00C437D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3C2A84" w:rsidRDefault="003C2A84" w:rsidP="00C437D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A84" w:rsidRDefault="003C2A84" w:rsidP="00C437D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A4326">
      <w:rPr>
        <w:rStyle w:val="PageNumber"/>
        <w:noProof/>
      </w:rPr>
      <w:t>4</w:t>
    </w:r>
    <w:r>
      <w:rPr>
        <w:rStyle w:val="PageNumber"/>
      </w:rPr>
      <w:fldChar w:fldCharType="end"/>
    </w:r>
  </w:p>
  <w:p w:rsidR="003C2A84" w:rsidRDefault="003C2A84" w:rsidP="00C437D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A84" w:rsidRDefault="003C2A84">
      <w:r>
        <w:separator/>
      </w:r>
    </w:p>
  </w:footnote>
  <w:footnote w:type="continuationSeparator" w:id="0">
    <w:p w:rsidR="003C2A84" w:rsidRDefault="003C2A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547D52"/>
    <w:multiLevelType w:val="hybridMultilevel"/>
    <w:tmpl w:val="F372F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C0B62D0"/>
    <w:multiLevelType w:val="hybridMultilevel"/>
    <w:tmpl w:val="248A173E"/>
    <w:lvl w:ilvl="0" w:tplc="19FC170E">
      <w:start w:val="1"/>
      <w:numFmt w:val="bullet"/>
      <w:lvlText w:val="•"/>
      <w:lvlJc w:val="left"/>
      <w:pPr>
        <w:tabs>
          <w:tab w:val="num" w:pos="720"/>
        </w:tabs>
        <w:ind w:left="720" w:hanging="360"/>
      </w:pPr>
      <w:rPr>
        <w:rFonts w:ascii="Arial" w:hAnsi="Arial" w:hint="default"/>
      </w:rPr>
    </w:lvl>
    <w:lvl w:ilvl="1" w:tplc="F9200022" w:tentative="1">
      <w:start w:val="1"/>
      <w:numFmt w:val="bullet"/>
      <w:lvlText w:val="•"/>
      <w:lvlJc w:val="left"/>
      <w:pPr>
        <w:tabs>
          <w:tab w:val="num" w:pos="1440"/>
        </w:tabs>
        <w:ind w:left="1440" w:hanging="360"/>
      </w:pPr>
      <w:rPr>
        <w:rFonts w:ascii="Arial" w:hAnsi="Arial" w:hint="default"/>
      </w:rPr>
    </w:lvl>
    <w:lvl w:ilvl="2" w:tplc="66A0958E" w:tentative="1">
      <w:start w:val="1"/>
      <w:numFmt w:val="bullet"/>
      <w:lvlText w:val="•"/>
      <w:lvlJc w:val="left"/>
      <w:pPr>
        <w:tabs>
          <w:tab w:val="num" w:pos="2160"/>
        </w:tabs>
        <w:ind w:left="2160" w:hanging="360"/>
      </w:pPr>
      <w:rPr>
        <w:rFonts w:ascii="Arial" w:hAnsi="Arial" w:hint="default"/>
      </w:rPr>
    </w:lvl>
    <w:lvl w:ilvl="3" w:tplc="0B88C9AC" w:tentative="1">
      <w:start w:val="1"/>
      <w:numFmt w:val="bullet"/>
      <w:lvlText w:val="•"/>
      <w:lvlJc w:val="left"/>
      <w:pPr>
        <w:tabs>
          <w:tab w:val="num" w:pos="2880"/>
        </w:tabs>
        <w:ind w:left="2880" w:hanging="360"/>
      </w:pPr>
      <w:rPr>
        <w:rFonts w:ascii="Arial" w:hAnsi="Arial" w:hint="default"/>
      </w:rPr>
    </w:lvl>
    <w:lvl w:ilvl="4" w:tplc="46409390" w:tentative="1">
      <w:start w:val="1"/>
      <w:numFmt w:val="bullet"/>
      <w:lvlText w:val="•"/>
      <w:lvlJc w:val="left"/>
      <w:pPr>
        <w:tabs>
          <w:tab w:val="num" w:pos="3600"/>
        </w:tabs>
        <w:ind w:left="3600" w:hanging="360"/>
      </w:pPr>
      <w:rPr>
        <w:rFonts w:ascii="Arial" w:hAnsi="Arial" w:hint="default"/>
      </w:rPr>
    </w:lvl>
    <w:lvl w:ilvl="5" w:tplc="5FE08270" w:tentative="1">
      <w:start w:val="1"/>
      <w:numFmt w:val="bullet"/>
      <w:lvlText w:val="•"/>
      <w:lvlJc w:val="left"/>
      <w:pPr>
        <w:tabs>
          <w:tab w:val="num" w:pos="4320"/>
        </w:tabs>
        <w:ind w:left="4320" w:hanging="360"/>
      </w:pPr>
      <w:rPr>
        <w:rFonts w:ascii="Arial" w:hAnsi="Arial" w:hint="default"/>
      </w:rPr>
    </w:lvl>
    <w:lvl w:ilvl="6" w:tplc="A11AEBEA" w:tentative="1">
      <w:start w:val="1"/>
      <w:numFmt w:val="bullet"/>
      <w:lvlText w:val="•"/>
      <w:lvlJc w:val="left"/>
      <w:pPr>
        <w:tabs>
          <w:tab w:val="num" w:pos="5040"/>
        </w:tabs>
        <w:ind w:left="5040" w:hanging="360"/>
      </w:pPr>
      <w:rPr>
        <w:rFonts w:ascii="Arial" w:hAnsi="Arial" w:hint="default"/>
      </w:rPr>
    </w:lvl>
    <w:lvl w:ilvl="7" w:tplc="19066F2C" w:tentative="1">
      <w:start w:val="1"/>
      <w:numFmt w:val="bullet"/>
      <w:lvlText w:val="•"/>
      <w:lvlJc w:val="left"/>
      <w:pPr>
        <w:tabs>
          <w:tab w:val="num" w:pos="5760"/>
        </w:tabs>
        <w:ind w:left="5760" w:hanging="360"/>
      </w:pPr>
      <w:rPr>
        <w:rFonts w:ascii="Arial" w:hAnsi="Arial" w:hint="default"/>
      </w:rPr>
    </w:lvl>
    <w:lvl w:ilvl="8" w:tplc="4BB846C4" w:tentative="1">
      <w:start w:val="1"/>
      <w:numFmt w:val="bullet"/>
      <w:lvlText w:val="•"/>
      <w:lvlJc w:val="left"/>
      <w:pPr>
        <w:tabs>
          <w:tab w:val="num" w:pos="6480"/>
        </w:tabs>
        <w:ind w:left="6480" w:hanging="360"/>
      </w:pPr>
      <w:rPr>
        <w:rFonts w:ascii="Arial" w:hAnsi="Arial" w:hint="default"/>
      </w:rPr>
    </w:lvl>
  </w:abstractNum>
  <w:abstractNum w:abstractNumId="2">
    <w:nsid w:val="6BE168BE"/>
    <w:multiLevelType w:val="hybridMultilevel"/>
    <w:tmpl w:val="E31A20C0"/>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DF7"/>
    <w:rsid w:val="00001633"/>
    <w:rsid w:val="000032B6"/>
    <w:rsid w:val="00004BFA"/>
    <w:rsid w:val="00007715"/>
    <w:rsid w:val="00013D61"/>
    <w:rsid w:val="00023E48"/>
    <w:rsid w:val="0002509E"/>
    <w:rsid w:val="00027718"/>
    <w:rsid w:val="000318CC"/>
    <w:rsid w:val="000351A7"/>
    <w:rsid w:val="00036403"/>
    <w:rsid w:val="00043044"/>
    <w:rsid w:val="0004391F"/>
    <w:rsid w:val="00045713"/>
    <w:rsid w:val="00050291"/>
    <w:rsid w:val="00053BB2"/>
    <w:rsid w:val="00053F21"/>
    <w:rsid w:val="000544BA"/>
    <w:rsid w:val="00055C46"/>
    <w:rsid w:val="00056FE9"/>
    <w:rsid w:val="000604A9"/>
    <w:rsid w:val="00063E4F"/>
    <w:rsid w:val="00070CAA"/>
    <w:rsid w:val="00071A7E"/>
    <w:rsid w:val="000736A4"/>
    <w:rsid w:val="00073A35"/>
    <w:rsid w:val="000860C9"/>
    <w:rsid w:val="00092BF2"/>
    <w:rsid w:val="000930A9"/>
    <w:rsid w:val="000930D8"/>
    <w:rsid w:val="00095A53"/>
    <w:rsid w:val="00095ED1"/>
    <w:rsid w:val="000965E8"/>
    <w:rsid w:val="000970D6"/>
    <w:rsid w:val="00097628"/>
    <w:rsid w:val="000A01DE"/>
    <w:rsid w:val="000A2D0E"/>
    <w:rsid w:val="000A34D2"/>
    <w:rsid w:val="000A3B29"/>
    <w:rsid w:val="000A3B9D"/>
    <w:rsid w:val="000A4326"/>
    <w:rsid w:val="000A64A7"/>
    <w:rsid w:val="000A6948"/>
    <w:rsid w:val="000A6F74"/>
    <w:rsid w:val="000B0097"/>
    <w:rsid w:val="000B45D3"/>
    <w:rsid w:val="000B69A5"/>
    <w:rsid w:val="000C0D34"/>
    <w:rsid w:val="000C469F"/>
    <w:rsid w:val="000D5726"/>
    <w:rsid w:val="000F0F70"/>
    <w:rsid w:val="000F35C3"/>
    <w:rsid w:val="000F4B8E"/>
    <w:rsid w:val="00102091"/>
    <w:rsid w:val="00110152"/>
    <w:rsid w:val="00110912"/>
    <w:rsid w:val="00111F59"/>
    <w:rsid w:val="001214B3"/>
    <w:rsid w:val="0013185B"/>
    <w:rsid w:val="0013254B"/>
    <w:rsid w:val="00132968"/>
    <w:rsid w:val="00137338"/>
    <w:rsid w:val="00141F1E"/>
    <w:rsid w:val="00142010"/>
    <w:rsid w:val="00142C4F"/>
    <w:rsid w:val="00143BF6"/>
    <w:rsid w:val="00147DF8"/>
    <w:rsid w:val="00147E2E"/>
    <w:rsid w:val="00151486"/>
    <w:rsid w:val="00152212"/>
    <w:rsid w:val="00152C42"/>
    <w:rsid w:val="001534FC"/>
    <w:rsid w:val="0015740C"/>
    <w:rsid w:val="00160C15"/>
    <w:rsid w:val="00164E61"/>
    <w:rsid w:val="00166CC8"/>
    <w:rsid w:val="00167EB8"/>
    <w:rsid w:val="00172B69"/>
    <w:rsid w:val="001740C9"/>
    <w:rsid w:val="001821A9"/>
    <w:rsid w:val="00182D59"/>
    <w:rsid w:val="001846E8"/>
    <w:rsid w:val="00186445"/>
    <w:rsid w:val="00186765"/>
    <w:rsid w:val="00190A38"/>
    <w:rsid w:val="0019339B"/>
    <w:rsid w:val="001937C7"/>
    <w:rsid w:val="00193898"/>
    <w:rsid w:val="00193BBA"/>
    <w:rsid w:val="00194F26"/>
    <w:rsid w:val="00195BB5"/>
    <w:rsid w:val="001975D3"/>
    <w:rsid w:val="001A15FF"/>
    <w:rsid w:val="001A2CC4"/>
    <w:rsid w:val="001B0142"/>
    <w:rsid w:val="001B0C01"/>
    <w:rsid w:val="001B13BC"/>
    <w:rsid w:val="001B2E79"/>
    <w:rsid w:val="001B367E"/>
    <w:rsid w:val="001C3437"/>
    <w:rsid w:val="001C3E1D"/>
    <w:rsid w:val="001C5E41"/>
    <w:rsid w:val="001C7C25"/>
    <w:rsid w:val="001D3867"/>
    <w:rsid w:val="001D4D41"/>
    <w:rsid w:val="001D553D"/>
    <w:rsid w:val="001D60BE"/>
    <w:rsid w:val="001E041F"/>
    <w:rsid w:val="001E06BD"/>
    <w:rsid w:val="001E12C7"/>
    <w:rsid w:val="001E1EC1"/>
    <w:rsid w:val="001E40E2"/>
    <w:rsid w:val="001F0C0E"/>
    <w:rsid w:val="001F206F"/>
    <w:rsid w:val="001F744B"/>
    <w:rsid w:val="002011D1"/>
    <w:rsid w:val="00202A80"/>
    <w:rsid w:val="0020580C"/>
    <w:rsid w:val="002158AF"/>
    <w:rsid w:val="0021648D"/>
    <w:rsid w:val="00217BC4"/>
    <w:rsid w:val="00217DE4"/>
    <w:rsid w:val="00220F8C"/>
    <w:rsid w:val="002232E3"/>
    <w:rsid w:val="002247D8"/>
    <w:rsid w:val="00234D12"/>
    <w:rsid w:val="00235512"/>
    <w:rsid w:val="00236F64"/>
    <w:rsid w:val="00242472"/>
    <w:rsid w:val="00242B13"/>
    <w:rsid w:val="0024454C"/>
    <w:rsid w:val="002467E6"/>
    <w:rsid w:val="0025546A"/>
    <w:rsid w:val="002579F6"/>
    <w:rsid w:val="00263409"/>
    <w:rsid w:val="00264120"/>
    <w:rsid w:val="00265743"/>
    <w:rsid w:val="00274171"/>
    <w:rsid w:val="00274569"/>
    <w:rsid w:val="00275AFF"/>
    <w:rsid w:val="0027700F"/>
    <w:rsid w:val="00282917"/>
    <w:rsid w:val="0028412C"/>
    <w:rsid w:val="00286777"/>
    <w:rsid w:val="002948B8"/>
    <w:rsid w:val="00295BF9"/>
    <w:rsid w:val="00297850"/>
    <w:rsid w:val="002A07AB"/>
    <w:rsid w:val="002A4391"/>
    <w:rsid w:val="002A6BDF"/>
    <w:rsid w:val="002A743D"/>
    <w:rsid w:val="002B74E3"/>
    <w:rsid w:val="002C5299"/>
    <w:rsid w:val="002C58CC"/>
    <w:rsid w:val="002D0022"/>
    <w:rsid w:val="002D12FC"/>
    <w:rsid w:val="002D5D44"/>
    <w:rsid w:val="002D5F01"/>
    <w:rsid w:val="002D7612"/>
    <w:rsid w:val="002E2EA4"/>
    <w:rsid w:val="002E68F6"/>
    <w:rsid w:val="002E7532"/>
    <w:rsid w:val="002F0DF9"/>
    <w:rsid w:val="002F21C4"/>
    <w:rsid w:val="003012D5"/>
    <w:rsid w:val="00302EC9"/>
    <w:rsid w:val="00306723"/>
    <w:rsid w:val="003100BE"/>
    <w:rsid w:val="00311136"/>
    <w:rsid w:val="00312785"/>
    <w:rsid w:val="0031400E"/>
    <w:rsid w:val="00326116"/>
    <w:rsid w:val="003277AE"/>
    <w:rsid w:val="0033782E"/>
    <w:rsid w:val="003525A1"/>
    <w:rsid w:val="0035317D"/>
    <w:rsid w:val="003538E9"/>
    <w:rsid w:val="00353970"/>
    <w:rsid w:val="00354B3E"/>
    <w:rsid w:val="00355E21"/>
    <w:rsid w:val="003568EC"/>
    <w:rsid w:val="00360063"/>
    <w:rsid w:val="00360FB7"/>
    <w:rsid w:val="00361C84"/>
    <w:rsid w:val="00362234"/>
    <w:rsid w:val="003662C4"/>
    <w:rsid w:val="0036737B"/>
    <w:rsid w:val="003708DC"/>
    <w:rsid w:val="003719CD"/>
    <w:rsid w:val="00372B2D"/>
    <w:rsid w:val="00375654"/>
    <w:rsid w:val="00375CF0"/>
    <w:rsid w:val="00377200"/>
    <w:rsid w:val="00382234"/>
    <w:rsid w:val="0038536D"/>
    <w:rsid w:val="003903A7"/>
    <w:rsid w:val="003908E5"/>
    <w:rsid w:val="00391DD1"/>
    <w:rsid w:val="00392703"/>
    <w:rsid w:val="0039414C"/>
    <w:rsid w:val="00394330"/>
    <w:rsid w:val="00396536"/>
    <w:rsid w:val="003A2926"/>
    <w:rsid w:val="003A4F05"/>
    <w:rsid w:val="003A4FEB"/>
    <w:rsid w:val="003A5710"/>
    <w:rsid w:val="003A5DCC"/>
    <w:rsid w:val="003A65D5"/>
    <w:rsid w:val="003A6C11"/>
    <w:rsid w:val="003A7286"/>
    <w:rsid w:val="003B40CD"/>
    <w:rsid w:val="003B53CB"/>
    <w:rsid w:val="003B746A"/>
    <w:rsid w:val="003C2A84"/>
    <w:rsid w:val="003C2CBE"/>
    <w:rsid w:val="003C48E0"/>
    <w:rsid w:val="003C54E8"/>
    <w:rsid w:val="003D17DA"/>
    <w:rsid w:val="003D52FF"/>
    <w:rsid w:val="003D5330"/>
    <w:rsid w:val="003D59CD"/>
    <w:rsid w:val="003E45FC"/>
    <w:rsid w:val="003E552C"/>
    <w:rsid w:val="003E5A44"/>
    <w:rsid w:val="003E74C6"/>
    <w:rsid w:val="003F035C"/>
    <w:rsid w:val="003F0F6E"/>
    <w:rsid w:val="003F43D8"/>
    <w:rsid w:val="003F5590"/>
    <w:rsid w:val="00400BDC"/>
    <w:rsid w:val="004125BB"/>
    <w:rsid w:val="00414251"/>
    <w:rsid w:val="00421BC5"/>
    <w:rsid w:val="00426244"/>
    <w:rsid w:val="00426573"/>
    <w:rsid w:val="0043391F"/>
    <w:rsid w:val="00434FAE"/>
    <w:rsid w:val="00441F60"/>
    <w:rsid w:val="00442EDF"/>
    <w:rsid w:val="004525EB"/>
    <w:rsid w:val="004548C9"/>
    <w:rsid w:val="00456035"/>
    <w:rsid w:val="00457283"/>
    <w:rsid w:val="0045730B"/>
    <w:rsid w:val="004609A4"/>
    <w:rsid w:val="004630AA"/>
    <w:rsid w:val="004703A8"/>
    <w:rsid w:val="004747A5"/>
    <w:rsid w:val="00476F3F"/>
    <w:rsid w:val="00487140"/>
    <w:rsid w:val="0048753F"/>
    <w:rsid w:val="004878FB"/>
    <w:rsid w:val="00487BCF"/>
    <w:rsid w:val="004920AE"/>
    <w:rsid w:val="00492359"/>
    <w:rsid w:val="004944F1"/>
    <w:rsid w:val="004963A5"/>
    <w:rsid w:val="004A01B1"/>
    <w:rsid w:val="004A0971"/>
    <w:rsid w:val="004A32CD"/>
    <w:rsid w:val="004A4073"/>
    <w:rsid w:val="004A5A09"/>
    <w:rsid w:val="004A660D"/>
    <w:rsid w:val="004A66C2"/>
    <w:rsid w:val="004B28CD"/>
    <w:rsid w:val="004B380E"/>
    <w:rsid w:val="004B3E30"/>
    <w:rsid w:val="004B5183"/>
    <w:rsid w:val="004B6E6D"/>
    <w:rsid w:val="004B7DE6"/>
    <w:rsid w:val="004C3A78"/>
    <w:rsid w:val="004C51EE"/>
    <w:rsid w:val="004D110C"/>
    <w:rsid w:val="004D137A"/>
    <w:rsid w:val="004D340F"/>
    <w:rsid w:val="004D5025"/>
    <w:rsid w:val="004D56FA"/>
    <w:rsid w:val="004D6606"/>
    <w:rsid w:val="004E02DE"/>
    <w:rsid w:val="004E058E"/>
    <w:rsid w:val="004E12FD"/>
    <w:rsid w:val="004E64E1"/>
    <w:rsid w:val="004E6B1C"/>
    <w:rsid w:val="004E7134"/>
    <w:rsid w:val="004E7D06"/>
    <w:rsid w:val="004F04A0"/>
    <w:rsid w:val="004F05A2"/>
    <w:rsid w:val="004F21C1"/>
    <w:rsid w:val="004F22F1"/>
    <w:rsid w:val="004F38EA"/>
    <w:rsid w:val="004F7051"/>
    <w:rsid w:val="0050148B"/>
    <w:rsid w:val="00502A52"/>
    <w:rsid w:val="00506350"/>
    <w:rsid w:val="00506D50"/>
    <w:rsid w:val="00506DEB"/>
    <w:rsid w:val="005115A9"/>
    <w:rsid w:val="00512AE1"/>
    <w:rsid w:val="00516354"/>
    <w:rsid w:val="00517183"/>
    <w:rsid w:val="00523916"/>
    <w:rsid w:val="00525268"/>
    <w:rsid w:val="005256BC"/>
    <w:rsid w:val="00534FD6"/>
    <w:rsid w:val="005358D7"/>
    <w:rsid w:val="005366FA"/>
    <w:rsid w:val="00536E67"/>
    <w:rsid w:val="00536F64"/>
    <w:rsid w:val="0053756D"/>
    <w:rsid w:val="00540350"/>
    <w:rsid w:val="00541C7D"/>
    <w:rsid w:val="00543D09"/>
    <w:rsid w:val="00544566"/>
    <w:rsid w:val="0054755C"/>
    <w:rsid w:val="00551472"/>
    <w:rsid w:val="005527E1"/>
    <w:rsid w:val="00554E42"/>
    <w:rsid w:val="0055698A"/>
    <w:rsid w:val="00560645"/>
    <w:rsid w:val="00561239"/>
    <w:rsid w:val="0056138B"/>
    <w:rsid w:val="00561DD3"/>
    <w:rsid w:val="005666CB"/>
    <w:rsid w:val="0056700C"/>
    <w:rsid w:val="00572C8B"/>
    <w:rsid w:val="005736CA"/>
    <w:rsid w:val="005738A7"/>
    <w:rsid w:val="00574EFC"/>
    <w:rsid w:val="0057617E"/>
    <w:rsid w:val="005855E0"/>
    <w:rsid w:val="005873BA"/>
    <w:rsid w:val="00587FF2"/>
    <w:rsid w:val="00593031"/>
    <w:rsid w:val="0059492D"/>
    <w:rsid w:val="005965CD"/>
    <w:rsid w:val="005A1151"/>
    <w:rsid w:val="005A6011"/>
    <w:rsid w:val="005A73D7"/>
    <w:rsid w:val="005B077C"/>
    <w:rsid w:val="005B1ED4"/>
    <w:rsid w:val="005B38E1"/>
    <w:rsid w:val="005D02B6"/>
    <w:rsid w:val="005D0AB7"/>
    <w:rsid w:val="005D2442"/>
    <w:rsid w:val="005D3044"/>
    <w:rsid w:val="005D7FD5"/>
    <w:rsid w:val="005E4417"/>
    <w:rsid w:val="005E4ADA"/>
    <w:rsid w:val="005E5C08"/>
    <w:rsid w:val="005F1FD7"/>
    <w:rsid w:val="005F338C"/>
    <w:rsid w:val="005F4E9D"/>
    <w:rsid w:val="005F5AC8"/>
    <w:rsid w:val="00601330"/>
    <w:rsid w:val="00612B46"/>
    <w:rsid w:val="00614FBB"/>
    <w:rsid w:val="00616339"/>
    <w:rsid w:val="006244BA"/>
    <w:rsid w:val="00634738"/>
    <w:rsid w:val="00635C51"/>
    <w:rsid w:val="00641303"/>
    <w:rsid w:val="006427AA"/>
    <w:rsid w:val="00642B24"/>
    <w:rsid w:val="00646A0F"/>
    <w:rsid w:val="0064755E"/>
    <w:rsid w:val="00647AC2"/>
    <w:rsid w:val="00650F75"/>
    <w:rsid w:val="006515C1"/>
    <w:rsid w:val="00656E40"/>
    <w:rsid w:val="006575C0"/>
    <w:rsid w:val="006603F5"/>
    <w:rsid w:val="006613DD"/>
    <w:rsid w:val="006627FD"/>
    <w:rsid w:val="0066442E"/>
    <w:rsid w:val="006651C4"/>
    <w:rsid w:val="00670F76"/>
    <w:rsid w:val="00671036"/>
    <w:rsid w:val="006715AD"/>
    <w:rsid w:val="00681E5F"/>
    <w:rsid w:val="00685478"/>
    <w:rsid w:val="006861BD"/>
    <w:rsid w:val="0068652F"/>
    <w:rsid w:val="00687022"/>
    <w:rsid w:val="00692CDF"/>
    <w:rsid w:val="006935AA"/>
    <w:rsid w:val="006A3C78"/>
    <w:rsid w:val="006A4351"/>
    <w:rsid w:val="006A4DD2"/>
    <w:rsid w:val="006A546D"/>
    <w:rsid w:val="006B178E"/>
    <w:rsid w:val="006B1EE3"/>
    <w:rsid w:val="006B2024"/>
    <w:rsid w:val="006B280F"/>
    <w:rsid w:val="006B3512"/>
    <w:rsid w:val="006B5A95"/>
    <w:rsid w:val="006B6123"/>
    <w:rsid w:val="006B69C6"/>
    <w:rsid w:val="006C023B"/>
    <w:rsid w:val="006C1B82"/>
    <w:rsid w:val="006C2B41"/>
    <w:rsid w:val="006C2B79"/>
    <w:rsid w:val="006C5470"/>
    <w:rsid w:val="006C7F7A"/>
    <w:rsid w:val="006D1EC0"/>
    <w:rsid w:val="006D541A"/>
    <w:rsid w:val="006D55A8"/>
    <w:rsid w:val="006D64FB"/>
    <w:rsid w:val="006D6E25"/>
    <w:rsid w:val="006D71A4"/>
    <w:rsid w:val="006E141B"/>
    <w:rsid w:val="006E1B2E"/>
    <w:rsid w:val="006E20C5"/>
    <w:rsid w:val="006F47E9"/>
    <w:rsid w:val="006F4E48"/>
    <w:rsid w:val="006F6222"/>
    <w:rsid w:val="006F6953"/>
    <w:rsid w:val="006F7C4B"/>
    <w:rsid w:val="006F7EBC"/>
    <w:rsid w:val="00705994"/>
    <w:rsid w:val="00706B84"/>
    <w:rsid w:val="0071371C"/>
    <w:rsid w:val="00717EC5"/>
    <w:rsid w:val="00725B3C"/>
    <w:rsid w:val="00725CD7"/>
    <w:rsid w:val="00735A84"/>
    <w:rsid w:val="00736A3E"/>
    <w:rsid w:val="00737256"/>
    <w:rsid w:val="007378C2"/>
    <w:rsid w:val="0074087A"/>
    <w:rsid w:val="0074139E"/>
    <w:rsid w:val="00741498"/>
    <w:rsid w:val="007420C0"/>
    <w:rsid w:val="007429A0"/>
    <w:rsid w:val="00742C99"/>
    <w:rsid w:val="0074337F"/>
    <w:rsid w:val="00744E00"/>
    <w:rsid w:val="00746FF9"/>
    <w:rsid w:val="00747FEE"/>
    <w:rsid w:val="0075249D"/>
    <w:rsid w:val="00756ADE"/>
    <w:rsid w:val="00757DD6"/>
    <w:rsid w:val="007613A1"/>
    <w:rsid w:val="007623C4"/>
    <w:rsid w:val="00764146"/>
    <w:rsid w:val="00766C35"/>
    <w:rsid w:val="0076728B"/>
    <w:rsid w:val="00772795"/>
    <w:rsid w:val="00775313"/>
    <w:rsid w:val="00775E4D"/>
    <w:rsid w:val="00782AA8"/>
    <w:rsid w:val="007870FE"/>
    <w:rsid w:val="0078770C"/>
    <w:rsid w:val="007969BD"/>
    <w:rsid w:val="007A0037"/>
    <w:rsid w:val="007A3950"/>
    <w:rsid w:val="007A555A"/>
    <w:rsid w:val="007A65E4"/>
    <w:rsid w:val="007B1637"/>
    <w:rsid w:val="007B2984"/>
    <w:rsid w:val="007C00E6"/>
    <w:rsid w:val="007C1737"/>
    <w:rsid w:val="007C2194"/>
    <w:rsid w:val="007C5591"/>
    <w:rsid w:val="007C5DE0"/>
    <w:rsid w:val="007D168B"/>
    <w:rsid w:val="007D5A69"/>
    <w:rsid w:val="007D7421"/>
    <w:rsid w:val="007E1C4E"/>
    <w:rsid w:val="007F04C6"/>
    <w:rsid w:val="007F04EC"/>
    <w:rsid w:val="007F06FB"/>
    <w:rsid w:val="007F7236"/>
    <w:rsid w:val="0080017F"/>
    <w:rsid w:val="0080057B"/>
    <w:rsid w:val="008014AA"/>
    <w:rsid w:val="00802AB4"/>
    <w:rsid w:val="00804464"/>
    <w:rsid w:val="00814DE2"/>
    <w:rsid w:val="008176C7"/>
    <w:rsid w:val="00821325"/>
    <w:rsid w:val="00826F06"/>
    <w:rsid w:val="0083015F"/>
    <w:rsid w:val="00832E2B"/>
    <w:rsid w:val="00833FA1"/>
    <w:rsid w:val="00840062"/>
    <w:rsid w:val="0084007E"/>
    <w:rsid w:val="00843CC2"/>
    <w:rsid w:val="008440EC"/>
    <w:rsid w:val="0084595D"/>
    <w:rsid w:val="00846A86"/>
    <w:rsid w:val="00847968"/>
    <w:rsid w:val="0085210F"/>
    <w:rsid w:val="00855FB5"/>
    <w:rsid w:val="00860016"/>
    <w:rsid w:val="00861B55"/>
    <w:rsid w:val="00863E7D"/>
    <w:rsid w:val="00872BD1"/>
    <w:rsid w:val="0087443A"/>
    <w:rsid w:val="008769EA"/>
    <w:rsid w:val="0088099C"/>
    <w:rsid w:val="00883F65"/>
    <w:rsid w:val="0088502E"/>
    <w:rsid w:val="00887962"/>
    <w:rsid w:val="00892FA1"/>
    <w:rsid w:val="0089342D"/>
    <w:rsid w:val="008A15AE"/>
    <w:rsid w:val="008A1C0E"/>
    <w:rsid w:val="008A5EAB"/>
    <w:rsid w:val="008A79EA"/>
    <w:rsid w:val="008B1EBA"/>
    <w:rsid w:val="008B430F"/>
    <w:rsid w:val="008C06A2"/>
    <w:rsid w:val="008C1207"/>
    <w:rsid w:val="008C3316"/>
    <w:rsid w:val="008C4E0C"/>
    <w:rsid w:val="008C7A38"/>
    <w:rsid w:val="008D3E36"/>
    <w:rsid w:val="008D57FC"/>
    <w:rsid w:val="008E103F"/>
    <w:rsid w:val="008E30A5"/>
    <w:rsid w:val="008F080A"/>
    <w:rsid w:val="008F08C5"/>
    <w:rsid w:val="008F1CB5"/>
    <w:rsid w:val="008F2CB3"/>
    <w:rsid w:val="008F5B25"/>
    <w:rsid w:val="008F78A4"/>
    <w:rsid w:val="0090335B"/>
    <w:rsid w:val="00903748"/>
    <w:rsid w:val="00905C33"/>
    <w:rsid w:val="00911BC8"/>
    <w:rsid w:val="0091797E"/>
    <w:rsid w:val="00920965"/>
    <w:rsid w:val="009231AD"/>
    <w:rsid w:val="00924F3C"/>
    <w:rsid w:val="00926FF1"/>
    <w:rsid w:val="00937537"/>
    <w:rsid w:val="009411AA"/>
    <w:rsid w:val="00941AA7"/>
    <w:rsid w:val="00941CB7"/>
    <w:rsid w:val="009424DA"/>
    <w:rsid w:val="0094741D"/>
    <w:rsid w:val="00947564"/>
    <w:rsid w:val="00950B3A"/>
    <w:rsid w:val="00951CAA"/>
    <w:rsid w:val="009628BD"/>
    <w:rsid w:val="00963B8A"/>
    <w:rsid w:val="00967758"/>
    <w:rsid w:val="00974885"/>
    <w:rsid w:val="00974E24"/>
    <w:rsid w:val="00981A21"/>
    <w:rsid w:val="00984456"/>
    <w:rsid w:val="009917C1"/>
    <w:rsid w:val="00992C7A"/>
    <w:rsid w:val="00994805"/>
    <w:rsid w:val="00995F4D"/>
    <w:rsid w:val="00996E8A"/>
    <w:rsid w:val="009A15F9"/>
    <w:rsid w:val="009A391A"/>
    <w:rsid w:val="009A3E89"/>
    <w:rsid w:val="009A43C9"/>
    <w:rsid w:val="009A5535"/>
    <w:rsid w:val="009A636D"/>
    <w:rsid w:val="009B1D69"/>
    <w:rsid w:val="009B20B4"/>
    <w:rsid w:val="009B3496"/>
    <w:rsid w:val="009B49C7"/>
    <w:rsid w:val="009B59AD"/>
    <w:rsid w:val="009C2ADA"/>
    <w:rsid w:val="009C6A96"/>
    <w:rsid w:val="009C7D2A"/>
    <w:rsid w:val="009C7FA7"/>
    <w:rsid w:val="009D43D3"/>
    <w:rsid w:val="009E42E7"/>
    <w:rsid w:val="009E62C2"/>
    <w:rsid w:val="009E66E0"/>
    <w:rsid w:val="009E6A9A"/>
    <w:rsid w:val="009E72ED"/>
    <w:rsid w:val="009F0C01"/>
    <w:rsid w:val="00A0509C"/>
    <w:rsid w:val="00A07A96"/>
    <w:rsid w:val="00A11623"/>
    <w:rsid w:val="00A11F9E"/>
    <w:rsid w:val="00A16877"/>
    <w:rsid w:val="00A20D74"/>
    <w:rsid w:val="00A243EC"/>
    <w:rsid w:val="00A24DF7"/>
    <w:rsid w:val="00A27222"/>
    <w:rsid w:val="00A3009B"/>
    <w:rsid w:val="00A418F4"/>
    <w:rsid w:val="00A42724"/>
    <w:rsid w:val="00A445C1"/>
    <w:rsid w:val="00A449C5"/>
    <w:rsid w:val="00A50927"/>
    <w:rsid w:val="00A5528A"/>
    <w:rsid w:val="00A56702"/>
    <w:rsid w:val="00A625B1"/>
    <w:rsid w:val="00A63128"/>
    <w:rsid w:val="00A65CB8"/>
    <w:rsid w:val="00A70363"/>
    <w:rsid w:val="00A7077E"/>
    <w:rsid w:val="00A76346"/>
    <w:rsid w:val="00A8046F"/>
    <w:rsid w:val="00A80821"/>
    <w:rsid w:val="00A812E1"/>
    <w:rsid w:val="00A82E09"/>
    <w:rsid w:val="00A91754"/>
    <w:rsid w:val="00A9541D"/>
    <w:rsid w:val="00AA4688"/>
    <w:rsid w:val="00AA5CB4"/>
    <w:rsid w:val="00AB2852"/>
    <w:rsid w:val="00AB3ED4"/>
    <w:rsid w:val="00AD0C8B"/>
    <w:rsid w:val="00AE1605"/>
    <w:rsid w:val="00AE1AB9"/>
    <w:rsid w:val="00AE6A1E"/>
    <w:rsid w:val="00AE732C"/>
    <w:rsid w:val="00AF796C"/>
    <w:rsid w:val="00B027D2"/>
    <w:rsid w:val="00B0482E"/>
    <w:rsid w:val="00B05F4B"/>
    <w:rsid w:val="00B066D7"/>
    <w:rsid w:val="00B06930"/>
    <w:rsid w:val="00B07B25"/>
    <w:rsid w:val="00B106D0"/>
    <w:rsid w:val="00B10F64"/>
    <w:rsid w:val="00B15250"/>
    <w:rsid w:val="00B17F2B"/>
    <w:rsid w:val="00B203DB"/>
    <w:rsid w:val="00B206E0"/>
    <w:rsid w:val="00B22FBD"/>
    <w:rsid w:val="00B23FD3"/>
    <w:rsid w:val="00B26ED1"/>
    <w:rsid w:val="00B27CE5"/>
    <w:rsid w:val="00B31534"/>
    <w:rsid w:val="00B33E41"/>
    <w:rsid w:val="00B37696"/>
    <w:rsid w:val="00B40EBF"/>
    <w:rsid w:val="00B433B4"/>
    <w:rsid w:val="00B436D0"/>
    <w:rsid w:val="00B51A86"/>
    <w:rsid w:val="00B56EB2"/>
    <w:rsid w:val="00B629F5"/>
    <w:rsid w:val="00B62EE6"/>
    <w:rsid w:val="00B6374E"/>
    <w:rsid w:val="00B64B15"/>
    <w:rsid w:val="00B70880"/>
    <w:rsid w:val="00B711B8"/>
    <w:rsid w:val="00B74FFA"/>
    <w:rsid w:val="00B76599"/>
    <w:rsid w:val="00B7669F"/>
    <w:rsid w:val="00B81929"/>
    <w:rsid w:val="00B819A3"/>
    <w:rsid w:val="00B83122"/>
    <w:rsid w:val="00B8620B"/>
    <w:rsid w:val="00B87998"/>
    <w:rsid w:val="00B92FEE"/>
    <w:rsid w:val="00B94FB2"/>
    <w:rsid w:val="00B97A44"/>
    <w:rsid w:val="00BA0839"/>
    <w:rsid w:val="00BA34F3"/>
    <w:rsid w:val="00BA4E04"/>
    <w:rsid w:val="00BA52E9"/>
    <w:rsid w:val="00BA7961"/>
    <w:rsid w:val="00BB6419"/>
    <w:rsid w:val="00BC3E69"/>
    <w:rsid w:val="00BC45D6"/>
    <w:rsid w:val="00BC5EB9"/>
    <w:rsid w:val="00BC63CF"/>
    <w:rsid w:val="00BC67C4"/>
    <w:rsid w:val="00BD4F72"/>
    <w:rsid w:val="00BD75F5"/>
    <w:rsid w:val="00BE1619"/>
    <w:rsid w:val="00BE4627"/>
    <w:rsid w:val="00BE57BE"/>
    <w:rsid w:val="00BE5DE3"/>
    <w:rsid w:val="00BE5E63"/>
    <w:rsid w:val="00BE70F6"/>
    <w:rsid w:val="00BE712B"/>
    <w:rsid w:val="00BF4BB9"/>
    <w:rsid w:val="00C20372"/>
    <w:rsid w:val="00C204C2"/>
    <w:rsid w:val="00C21D90"/>
    <w:rsid w:val="00C22195"/>
    <w:rsid w:val="00C223ED"/>
    <w:rsid w:val="00C22AFF"/>
    <w:rsid w:val="00C2401E"/>
    <w:rsid w:val="00C24D0D"/>
    <w:rsid w:val="00C26D08"/>
    <w:rsid w:val="00C31B7D"/>
    <w:rsid w:val="00C31CE6"/>
    <w:rsid w:val="00C35A60"/>
    <w:rsid w:val="00C35B5F"/>
    <w:rsid w:val="00C36D99"/>
    <w:rsid w:val="00C37904"/>
    <w:rsid w:val="00C37A00"/>
    <w:rsid w:val="00C437D5"/>
    <w:rsid w:val="00C468FD"/>
    <w:rsid w:val="00C47E13"/>
    <w:rsid w:val="00C52CEC"/>
    <w:rsid w:val="00C565BB"/>
    <w:rsid w:val="00C56A0B"/>
    <w:rsid w:val="00C64132"/>
    <w:rsid w:val="00C701D4"/>
    <w:rsid w:val="00C731AC"/>
    <w:rsid w:val="00C76113"/>
    <w:rsid w:val="00C83EED"/>
    <w:rsid w:val="00C86596"/>
    <w:rsid w:val="00C92B63"/>
    <w:rsid w:val="00C97E8B"/>
    <w:rsid w:val="00CA07E1"/>
    <w:rsid w:val="00CA1A5F"/>
    <w:rsid w:val="00CA5004"/>
    <w:rsid w:val="00CA502D"/>
    <w:rsid w:val="00CB5390"/>
    <w:rsid w:val="00CC01B7"/>
    <w:rsid w:val="00CC56FE"/>
    <w:rsid w:val="00CC65F1"/>
    <w:rsid w:val="00CD50E8"/>
    <w:rsid w:val="00CD535D"/>
    <w:rsid w:val="00CD7166"/>
    <w:rsid w:val="00CE0385"/>
    <w:rsid w:val="00CE07C2"/>
    <w:rsid w:val="00CE18B3"/>
    <w:rsid w:val="00CE3789"/>
    <w:rsid w:val="00CE4166"/>
    <w:rsid w:val="00CE7485"/>
    <w:rsid w:val="00CE7BF4"/>
    <w:rsid w:val="00CF16C2"/>
    <w:rsid w:val="00CF3190"/>
    <w:rsid w:val="00CF6CF0"/>
    <w:rsid w:val="00D00711"/>
    <w:rsid w:val="00D038D6"/>
    <w:rsid w:val="00D03E20"/>
    <w:rsid w:val="00D03F98"/>
    <w:rsid w:val="00D10B84"/>
    <w:rsid w:val="00D11321"/>
    <w:rsid w:val="00D20C6C"/>
    <w:rsid w:val="00D20CAC"/>
    <w:rsid w:val="00D20E73"/>
    <w:rsid w:val="00D21145"/>
    <w:rsid w:val="00D214D1"/>
    <w:rsid w:val="00D23808"/>
    <w:rsid w:val="00D25AC0"/>
    <w:rsid w:val="00D25B74"/>
    <w:rsid w:val="00D26460"/>
    <w:rsid w:val="00D31796"/>
    <w:rsid w:val="00D33D33"/>
    <w:rsid w:val="00D47AD3"/>
    <w:rsid w:val="00D50C6E"/>
    <w:rsid w:val="00D50FDD"/>
    <w:rsid w:val="00D52E6F"/>
    <w:rsid w:val="00D56A6A"/>
    <w:rsid w:val="00D6297A"/>
    <w:rsid w:val="00D653E8"/>
    <w:rsid w:val="00D65520"/>
    <w:rsid w:val="00D65578"/>
    <w:rsid w:val="00D6790A"/>
    <w:rsid w:val="00D747BF"/>
    <w:rsid w:val="00D775DB"/>
    <w:rsid w:val="00D87124"/>
    <w:rsid w:val="00D92F27"/>
    <w:rsid w:val="00D96B1D"/>
    <w:rsid w:val="00DA1827"/>
    <w:rsid w:val="00DA5026"/>
    <w:rsid w:val="00DA555F"/>
    <w:rsid w:val="00DA5631"/>
    <w:rsid w:val="00DB05BA"/>
    <w:rsid w:val="00DB2DE6"/>
    <w:rsid w:val="00DC10A6"/>
    <w:rsid w:val="00DD29DE"/>
    <w:rsid w:val="00DD3765"/>
    <w:rsid w:val="00DE1279"/>
    <w:rsid w:val="00DE1F02"/>
    <w:rsid w:val="00DE48D3"/>
    <w:rsid w:val="00DF0B58"/>
    <w:rsid w:val="00DF1701"/>
    <w:rsid w:val="00DF1F81"/>
    <w:rsid w:val="00DF66FC"/>
    <w:rsid w:val="00E01418"/>
    <w:rsid w:val="00E06171"/>
    <w:rsid w:val="00E0675D"/>
    <w:rsid w:val="00E06E96"/>
    <w:rsid w:val="00E11241"/>
    <w:rsid w:val="00E118B0"/>
    <w:rsid w:val="00E13479"/>
    <w:rsid w:val="00E15E6E"/>
    <w:rsid w:val="00E27ACD"/>
    <w:rsid w:val="00E33D0A"/>
    <w:rsid w:val="00E3502C"/>
    <w:rsid w:val="00E35F0C"/>
    <w:rsid w:val="00E373CE"/>
    <w:rsid w:val="00E377D8"/>
    <w:rsid w:val="00E44CF6"/>
    <w:rsid w:val="00E464E6"/>
    <w:rsid w:val="00E5204F"/>
    <w:rsid w:val="00E52499"/>
    <w:rsid w:val="00E55C63"/>
    <w:rsid w:val="00E61687"/>
    <w:rsid w:val="00E65085"/>
    <w:rsid w:val="00E67319"/>
    <w:rsid w:val="00E67C85"/>
    <w:rsid w:val="00E73C93"/>
    <w:rsid w:val="00E811A3"/>
    <w:rsid w:val="00E81DE5"/>
    <w:rsid w:val="00E82016"/>
    <w:rsid w:val="00E82E93"/>
    <w:rsid w:val="00E922BF"/>
    <w:rsid w:val="00EA1CB5"/>
    <w:rsid w:val="00EA7E32"/>
    <w:rsid w:val="00EB2AB5"/>
    <w:rsid w:val="00EB4600"/>
    <w:rsid w:val="00EB6948"/>
    <w:rsid w:val="00EC0834"/>
    <w:rsid w:val="00EC4F13"/>
    <w:rsid w:val="00ED174D"/>
    <w:rsid w:val="00ED51FF"/>
    <w:rsid w:val="00ED5714"/>
    <w:rsid w:val="00ED7B84"/>
    <w:rsid w:val="00ED7C8B"/>
    <w:rsid w:val="00EE4DB5"/>
    <w:rsid w:val="00EE7274"/>
    <w:rsid w:val="00EE7F18"/>
    <w:rsid w:val="00EF40B7"/>
    <w:rsid w:val="00EF414A"/>
    <w:rsid w:val="00EF5B32"/>
    <w:rsid w:val="00F04010"/>
    <w:rsid w:val="00F0568A"/>
    <w:rsid w:val="00F060C0"/>
    <w:rsid w:val="00F071ED"/>
    <w:rsid w:val="00F11169"/>
    <w:rsid w:val="00F13A85"/>
    <w:rsid w:val="00F14C95"/>
    <w:rsid w:val="00F17FBC"/>
    <w:rsid w:val="00F24DD7"/>
    <w:rsid w:val="00F261C8"/>
    <w:rsid w:val="00F26A99"/>
    <w:rsid w:val="00F27452"/>
    <w:rsid w:val="00F3063C"/>
    <w:rsid w:val="00F31BFF"/>
    <w:rsid w:val="00F333EB"/>
    <w:rsid w:val="00F406BA"/>
    <w:rsid w:val="00F46480"/>
    <w:rsid w:val="00F503ED"/>
    <w:rsid w:val="00F50705"/>
    <w:rsid w:val="00F51596"/>
    <w:rsid w:val="00F54222"/>
    <w:rsid w:val="00F5730A"/>
    <w:rsid w:val="00F6379B"/>
    <w:rsid w:val="00F664D1"/>
    <w:rsid w:val="00F67C2B"/>
    <w:rsid w:val="00F72D40"/>
    <w:rsid w:val="00F73F90"/>
    <w:rsid w:val="00F75B21"/>
    <w:rsid w:val="00F80AFF"/>
    <w:rsid w:val="00F817BB"/>
    <w:rsid w:val="00F833C0"/>
    <w:rsid w:val="00F86064"/>
    <w:rsid w:val="00F87CC4"/>
    <w:rsid w:val="00F90702"/>
    <w:rsid w:val="00F92B24"/>
    <w:rsid w:val="00F93716"/>
    <w:rsid w:val="00F95759"/>
    <w:rsid w:val="00FA0139"/>
    <w:rsid w:val="00FA2F2C"/>
    <w:rsid w:val="00FA3EFD"/>
    <w:rsid w:val="00FB3044"/>
    <w:rsid w:val="00FB511E"/>
    <w:rsid w:val="00FB6807"/>
    <w:rsid w:val="00FC1FC3"/>
    <w:rsid w:val="00FC20C8"/>
    <w:rsid w:val="00FC347E"/>
    <w:rsid w:val="00FC6E2B"/>
    <w:rsid w:val="00FD00EC"/>
    <w:rsid w:val="00FD0FEE"/>
    <w:rsid w:val="00FD396D"/>
    <w:rsid w:val="00FD5C5B"/>
    <w:rsid w:val="00FD784C"/>
    <w:rsid w:val="00FE12D6"/>
    <w:rsid w:val="00FE1C70"/>
    <w:rsid w:val="00FE2EF0"/>
    <w:rsid w:val="00FE2F4B"/>
    <w:rsid w:val="00FE2FEB"/>
    <w:rsid w:val="00FE3406"/>
    <w:rsid w:val="00FE3E9D"/>
    <w:rsid w:val="00FE4E4F"/>
    <w:rsid w:val="00FF0C75"/>
    <w:rsid w:val="00FF22AA"/>
    <w:rsid w:val="00FF32AC"/>
    <w:rsid w:val="00FF3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DF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A24DF7"/>
    <w:pPr>
      <w:tabs>
        <w:tab w:val="center" w:pos="4419"/>
        <w:tab w:val="right" w:pos="8838"/>
      </w:tabs>
    </w:pPr>
  </w:style>
  <w:style w:type="character" w:customStyle="1" w:styleId="FooterChar">
    <w:name w:val="Footer Char"/>
    <w:basedOn w:val="DefaultParagraphFont"/>
    <w:link w:val="Footer"/>
    <w:rsid w:val="00A24DF7"/>
    <w:rPr>
      <w:rFonts w:ascii="Times New Roman" w:eastAsia="Times New Roman" w:hAnsi="Times New Roman" w:cs="Times New Roman"/>
      <w:sz w:val="24"/>
      <w:szCs w:val="24"/>
      <w:lang w:val="en-US"/>
    </w:rPr>
  </w:style>
  <w:style w:type="character" w:styleId="PageNumber">
    <w:name w:val="page number"/>
    <w:basedOn w:val="DefaultParagraphFont"/>
    <w:rsid w:val="00A24DF7"/>
  </w:style>
  <w:style w:type="table" w:styleId="TableGrid">
    <w:name w:val="Table Grid"/>
    <w:basedOn w:val="TableNormal"/>
    <w:uiPriority w:val="59"/>
    <w:rsid w:val="00A24DF7"/>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C204C2"/>
    <w:pPr>
      <w:ind w:left="720"/>
      <w:contextualSpacing/>
    </w:pPr>
  </w:style>
  <w:style w:type="character" w:customStyle="1" w:styleId="ListParagraphChar">
    <w:name w:val="List Paragraph Char"/>
    <w:link w:val="ListParagraph"/>
    <w:uiPriority w:val="34"/>
    <w:rsid w:val="009E62C2"/>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rsid w:val="0074139E"/>
    <w:rPr>
      <w:sz w:val="16"/>
      <w:szCs w:val="16"/>
    </w:rPr>
  </w:style>
  <w:style w:type="paragraph" w:styleId="CommentText">
    <w:name w:val="annotation text"/>
    <w:basedOn w:val="Normal"/>
    <w:link w:val="CommentTextChar"/>
    <w:uiPriority w:val="99"/>
    <w:rsid w:val="0074139E"/>
    <w:rPr>
      <w:rFonts w:ascii="New York" w:hAnsi="New York" w:cs="New York"/>
      <w:sz w:val="20"/>
      <w:szCs w:val="20"/>
      <w:lang w:val="es-ES_tradnl"/>
    </w:rPr>
  </w:style>
  <w:style w:type="character" w:customStyle="1" w:styleId="CommentTextChar">
    <w:name w:val="Comment Text Char"/>
    <w:basedOn w:val="DefaultParagraphFont"/>
    <w:link w:val="CommentText"/>
    <w:uiPriority w:val="99"/>
    <w:rsid w:val="0074139E"/>
    <w:rPr>
      <w:rFonts w:ascii="New York" w:eastAsia="Times New Roman" w:hAnsi="New York" w:cs="New York"/>
      <w:sz w:val="20"/>
      <w:szCs w:val="20"/>
      <w:lang w:val="es-ES_tradnl"/>
    </w:rPr>
  </w:style>
  <w:style w:type="paragraph" w:styleId="BalloonText">
    <w:name w:val="Balloon Text"/>
    <w:basedOn w:val="Normal"/>
    <w:link w:val="BalloonTextChar"/>
    <w:uiPriority w:val="99"/>
    <w:semiHidden/>
    <w:unhideWhenUsed/>
    <w:rsid w:val="0074139E"/>
    <w:rPr>
      <w:rFonts w:ascii="Tahoma" w:hAnsi="Tahoma" w:cs="Tahoma"/>
      <w:sz w:val="16"/>
      <w:szCs w:val="16"/>
    </w:rPr>
  </w:style>
  <w:style w:type="character" w:customStyle="1" w:styleId="BalloonTextChar">
    <w:name w:val="Balloon Text Char"/>
    <w:basedOn w:val="DefaultParagraphFont"/>
    <w:link w:val="BalloonText"/>
    <w:uiPriority w:val="99"/>
    <w:semiHidden/>
    <w:rsid w:val="0074139E"/>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DF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A24DF7"/>
    <w:pPr>
      <w:tabs>
        <w:tab w:val="center" w:pos="4419"/>
        <w:tab w:val="right" w:pos="8838"/>
      </w:tabs>
    </w:pPr>
  </w:style>
  <w:style w:type="character" w:customStyle="1" w:styleId="FooterChar">
    <w:name w:val="Footer Char"/>
    <w:basedOn w:val="DefaultParagraphFont"/>
    <w:link w:val="Footer"/>
    <w:rsid w:val="00A24DF7"/>
    <w:rPr>
      <w:rFonts w:ascii="Times New Roman" w:eastAsia="Times New Roman" w:hAnsi="Times New Roman" w:cs="Times New Roman"/>
      <w:sz w:val="24"/>
      <w:szCs w:val="24"/>
      <w:lang w:val="en-US"/>
    </w:rPr>
  </w:style>
  <w:style w:type="character" w:styleId="PageNumber">
    <w:name w:val="page number"/>
    <w:basedOn w:val="DefaultParagraphFont"/>
    <w:rsid w:val="00A24DF7"/>
  </w:style>
  <w:style w:type="table" w:styleId="TableGrid">
    <w:name w:val="Table Grid"/>
    <w:basedOn w:val="TableNormal"/>
    <w:uiPriority w:val="59"/>
    <w:rsid w:val="00A24DF7"/>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C204C2"/>
    <w:pPr>
      <w:ind w:left="720"/>
      <w:contextualSpacing/>
    </w:pPr>
  </w:style>
  <w:style w:type="character" w:customStyle="1" w:styleId="ListParagraphChar">
    <w:name w:val="List Paragraph Char"/>
    <w:link w:val="ListParagraph"/>
    <w:uiPriority w:val="34"/>
    <w:rsid w:val="009E62C2"/>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rsid w:val="0074139E"/>
    <w:rPr>
      <w:sz w:val="16"/>
      <w:szCs w:val="16"/>
    </w:rPr>
  </w:style>
  <w:style w:type="paragraph" w:styleId="CommentText">
    <w:name w:val="annotation text"/>
    <w:basedOn w:val="Normal"/>
    <w:link w:val="CommentTextChar"/>
    <w:uiPriority w:val="99"/>
    <w:rsid w:val="0074139E"/>
    <w:rPr>
      <w:rFonts w:ascii="New York" w:hAnsi="New York" w:cs="New York"/>
      <w:sz w:val="20"/>
      <w:szCs w:val="20"/>
      <w:lang w:val="es-ES_tradnl"/>
    </w:rPr>
  </w:style>
  <w:style w:type="character" w:customStyle="1" w:styleId="CommentTextChar">
    <w:name w:val="Comment Text Char"/>
    <w:basedOn w:val="DefaultParagraphFont"/>
    <w:link w:val="CommentText"/>
    <w:uiPriority w:val="99"/>
    <w:rsid w:val="0074139E"/>
    <w:rPr>
      <w:rFonts w:ascii="New York" w:eastAsia="Times New Roman" w:hAnsi="New York" w:cs="New York"/>
      <w:sz w:val="20"/>
      <w:szCs w:val="20"/>
      <w:lang w:val="es-ES_tradnl"/>
    </w:rPr>
  </w:style>
  <w:style w:type="paragraph" w:styleId="BalloonText">
    <w:name w:val="Balloon Text"/>
    <w:basedOn w:val="Normal"/>
    <w:link w:val="BalloonTextChar"/>
    <w:uiPriority w:val="99"/>
    <w:semiHidden/>
    <w:unhideWhenUsed/>
    <w:rsid w:val="0074139E"/>
    <w:rPr>
      <w:rFonts w:ascii="Tahoma" w:hAnsi="Tahoma" w:cs="Tahoma"/>
      <w:sz w:val="16"/>
      <w:szCs w:val="16"/>
    </w:rPr>
  </w:style>
  <w:style w:type="character" w:customStyle="1" w:styleId="BalloonTextChar">
    <w:name w:val="Balloon Text Char"/>
    <w:basedOn w:val="DefaultParagraphFont"/>
    <w:link w:val="BalloonText"/>
    <w:uiPriority w:val="99"/>
    <w:semiHidden/>
    <w:rsid w:val="0074139E"/>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507968">
      <w:bodyDiv w:val="1"/>
      <w:marLeft w:val="0"/>
      <w:marRight w:val="0"/>
      <w:marTop w:val="0"/>
      <w:marBottom w:val="0"/>
      <w:divBdr>
        <w:top w:val="none" w:sz="0" w:space="0" w:color="auto"/>
        <w:left w:val="none" w:sz="0" w:space="0" w:color="auto"/>
        <w:bottom w:val="none" w:sz="0" w:space="0" w:color="auto"/>
        <w:right w:val="none" w:sz="0" w:space="0" w:color="auto"/>
      </w:divBdr>
    </w:div>
    <w:div w:id="1179002606">
      <w:bodyDiv w:val="1"/>
      <w:marLeft w:val="0"/>
      <w:marRight w:val="0"/>
      <w:marTop w:val="0"/>
      <w:marBottom w:val="0"/>
      <w:divBdr>
        <w:top w:val="none" w:sz="0" w:space="0" w:color="auto"/>
        <w:left w:val="none" w:sz="0" w:space="0" w:color="auto"/>
        <w:bottom w:val="none" w:sz="0" w:space="0" w:color="auto"/>
        <w:right w:val="none" w:sz="0" w:space="0" w:color="auto"/>
      </w:divBdr>
      <w:divsChild>
        <w:div w:id="396441374">
          <w:marLeft w:val="130"/>
          <w:marRight w:val="0"/>
          <w:marTop w:val="120"/>
          <w:marBottom w:val="0"/>
          <w:divBdr>
            <w:top w:val="none" w:sz="0" w:space="0" w:color="auto"/>
            <w:left w:val="none" w:sz="0" w:space="0" w:color="auto"/>
            <w:bottom w:val="none" w:sz="0" w:space="0" w:color="auto"/>
            <w:right w:val="none" w:sz="0" w:space="0" w:color="auto"/>
          </w:divBdr>
        </w:div>
        <w:div w:id="1282223053">
          <w:marLeft w:val="130"/>
          <w:marRight w:val="0"/>
          <w:marTop w:val="120"/>
          <w:marBottom w:val="0"/>
          <w:divBdr>
            <w:top w:val="none" w:sz="0" w:space="0" w:color="auto"/>
            <w:left w:val="none" w:sz="0" w:space="0" w:color="auto"/>
            <w:bottom w:val="none" w:sz="0" w:space="0" w:color="auto"/>
            <w:right w:val="none" w:sz="0" w:space="0" w:color="auto"/>
          </w:divBdr>
        </w:div>
        <w:div w:id="1236475557">
          <w:marLeft w:val="130"/>
          <w:marRight w:val="0"/>
          <w:marTop w:val="120"/>
          <w:marBottom w:val="0"/>
          <w:divBdr>
            <w:top w:val="none" w:sz="0" w:space="0" w:color="auto"/>
            <w:left w:val="none" w:sz="0" w:space="0" w:color="auto"/>
            <w:bottom w:val="none" w:sz="0" w:space="0" w:color="auto"/>
            <w:right w:val="none" w:sz="0" w:space="0" w:color="auto"/>
          </w:divBdr>
        </w:div>
        <w:div w:id="1830629146">
          <w:marLeft w:val="130"/>
          <w:marRight w:val="0"/>
          <w:marTop w:val="120"/>
          <w:marBottom w:val="0"/>
          <w:divBdr>
            <w:top w:val="none" w:sz="0" w:space="0" w:color="auto"/>
            <w:left w:val="none" w:sz="0" w:space="0" w:color="auto"/>
            <w:bottom w:val="none" w:sz="0" w:space="0" w:color="auto"/>
            <w:right w:val="none" w:sz="0" w:space="0" w:color="auto"/>
          </w:divBdr>
        </w:div>
        <w:div w:id="434063213">
          <w:marLeft w:val="130"/>
          <w:marRight w:val="0"/>
          <w:marTop w:val="120"/>
          <w:marBottom w:val="0"/>
          <w:divBdr>
            <w:top w:val="none" w:sz="0" w:space="0" w:color="auto"/>
            <w:left w:val="none" w:sz="0" w:space="0" w:color="auto"/>
            <w:bottom w:val="none" w:sz="0" w:space="0" w:color="auto"/>
            <w:right w:val="none" w:sz="0" w:space="0" w:color="auto"/>
          </w:divBdr>
        </w:div>
      </w:divsChild>
    </w:div>
    <w:div w:id="1326668631">
      <w:bodyDiv w:val="1"/>
      <w:marLeft w:val="0"/>
      <w:marRight w:val="0"/>
      <w:marTop w:val="0"/>
      <w:marBottom w:val="0"/>
      <w:divBdr>
        <w:top w:val="none" w:sz="0" w:space="0" w:color="auto"/>
        <w:left w:val="none" w:sz="0" w:space="0" w:color="auto"/>
        <w:bottom w:val="none" w:sz="0" w:space="0" w:color="auto"/>
        <w:right w:val="none" w:sz="0" w:space="0" w:color="auto"/>
      </w:divBdr>
    </w:div>
    <w:div w:id="1752039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2930</Words>
  <Characters>16707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Jesus Angel Alcala Fernandez</dc:creator>
  <cp:lastModifiedBy>Jesus Angel Alcala Fernandez</cp:lastModifiedBy>
  <cp:revision>5</cp:revision>
  <dcterms:created xsi:type="dcterms:W3CDTF">2016-09-12T10:48:00Z</dcterms:created>
  <dcterms:modified xsi:type="dcterms:W3CDTF">2016-09-12T10:55:00Z</dcterms:modified>
</cp:coreProperties>
</file>