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B0" w:rsidRPr="00CE14B1" w:rsidRDefault="000C6FB0" w:rsidP="000C6FB0">
      <w:pPr>
        <w:pStyle w:val="Textoindependiente"/>
        <w:shd w:val="clear" w:color="auto" w:fill="BFBFBF" w:themeFill="background1" w:themeFillShade="BF"/>
        <w:tabs>
          <w:tab w:val="center" w:pos="4252"/>
        </w:tabs>
        <w:spacing w:before="240" w:after="360"/>
        <w:rPr>
          <w:rFonts w:ascii="Calibri" w:hAnsi="Calibri"/>
          <w:b/>
          <w:i/>
          <w:sz w:val="24"/>
          <w:lang w:val="es-ES"/>
        </w:rPr>
      </w:pPr>
      <w:r w:rsidRPr="007C01BC">
        <w:rPr>
          <w:rFonts w:ascii="Calibri" w:hAnsi="Calibri"/>
          <w:b/>
          <w:i/>
          <w:sz w:val="24"/>
          <w:highlight w:val="lightGray"/>
          <w:lang w:val="es-ES"/>
        </w:rPr>
        <w:t xml:space="preserve">VALORACIÓN POR LA </w:t>
      </w:r>
      <w:r w:rsidR="002F4F6C">
        <w:rPr>
          <w:rFonts w:ascii="Calibri" w:hAnsi="Calibri"/>
          <w:b/>
          <w:i/>
          <w:sz w:val="24"/>
          <w:highlight w:val="lightGray"/>
          <w:lang w:val="es-ES"/>
        </w:rPr>
        <w:t>SV/AV o, en su defecto, POR LA ENTIDAD DOMINANTE DE LA SV/AV,</w:t>
      </w:r>
      <w:r w:rsidRPr="007C01BC">
        <w:rPr>
          <w:rFonts w:ascii="Calibri" w:hAnsi="Calibri"/>
          <w:b/>
          <w:i/>
          <w:sz w:val="24"/>
          <w:highlight w:val="lightGray"/>
          <w:lang w:val="es-ES"/>
        </w:rPr>
        <w:t xml:space="preserve"> </w:t>
      </w:r>
      <w:r w:rsidRPr="007C01BC">
        <w:rPr>
          <w:rFonts w:ascii="Calibri" w:hAnsi="Calibri"/>
          <w:b/>
          <w:i/>
          <w:sz w:val="22"/>
          <w:szCs w:val="22"/>
          <w:highlight w:val="lightGray"/>
          <w:shd w:val="clear" w:color="auto" w:fill="E5B8B7" w:themeFill="accent2" w:themeFillTint="66"/>
          <w:lang w:val="es-ES"/>
        </w:rPr>
        <w:t>DEL CUMPLIMIENTO DEL REQUISITO DE CONOCIMIENTOS, COMPETENCIA Y EXPERIENCIA COLECTIVOS DEL</w:t>
      </w:r>
      <w:r w:rsidR="002F4F6C">
        <w:rPr>
          <w:rFonts w:ascii="Calibri" w:hAnsi="Calibri"/>
          <w:b/>
          <w:i/>
          <w:sz w:val="22"/>
          <w:szCs w:val="22"/>
          <w:highlight w:val="lightGray"/>
          <w:shd w:val="clear" w:color="auto" w:fill="E5B8B7" w:themeFill="accent2" w:themeFillTint="66"/>
          <w:lang w:val="es-ES"/>
        </w:rPr>
        <w:t xml:space="preserve"> ÓRGANO DE ADMINISTRACIÓN DE LA ENTIDAD DOMINANTE DE LA SV/AV</w:t>
      </w:r>
    </w:p>
    <w:p w:rsidR="000C6FB0" w:rsidRPr="00CE14B1" w:rsidRDefault="000C6FB0" w:rsidP="000C6FB0">
      <w:pPr>
        <w:pStyle w:val="Textoindependiente2"/>
        <w:spacing w:line="240" w:lineRule="auto"/>
      </w:pPr>
      <w:proofErr w:type="gramStart"/>
      <w:r w:rsidRPr="00CE14B1">
        <w:t>D./</w:t>
      </w:r>
      <w:proofErr w:type="gramEnd"/>
      <w:r w:rsidRPr="00CE14B1">
        <w:t xml:space="preserve">Dª. </w:t>
      </w:r>
      <w:r w:rsidRPr="00CE14B1">
        <w:rPr>
          <w:rStyle w:val="sombreadorelleno0"/>
        </w:rPr>
        <w:t>..........................................................................................................</w:t>
      </w:r>
      <w:r w:rsidRPr="00CE14B1">
        <w:t xml:space="preserve">, en calidad </w:t>
      </w:r>
      <w:proofErr w:type="gramStart"/>
      <w:r w:rsidRPr="00CE14B1">
        <w:t xml:space="preserve">de </w:t>
      </w:r>
      <w:r w:rsidRPr="00CE14B1">
        <w:rPr>
          <w:rStyle w:val="sombreadorelleno0"/>
        </w:rPr>
        <w:t>..................................</w:t>
      </w:r>
      <w:proofErr w:type="gramEnd"/>
      <w:r>
        <w:t xml:space="preserve">, actuando en nombre y representación de la </w:t>
      </w:r>
      <w:r w:rsidR="002F4F6C">
        <w:t>SV/AV/de la entidad dominante de la SV/AV</w:t>
      </w:r>
      <w:r w:rsidR="002F4F6C" w:rsidRPr="002F4F6C">
        <w:rPr>
          <w:rStyle w:val="Refdenotaalpie"/>
          <w:b/>
          <w:color w:val="AD2144"/>
        </w:rPr>
        <w:t xml:space="preserve"> </w:t>
      </w:r>
      <w:r w:rsidR="002F4F6C" w:rsidRPr="004C1ABB">
        <w:rPr>
          <w:rStyle w:val="Refdenotaalpie"/>
          <w:b/>
          <w:color w:val="AD2144"/>
        </w:rPr>
        <w:footnoteReference w:id="1"/>
      </w:r>
      <w:r w:rsidRPr="00CE14B1">
        <w:t xml:space="preserve">, </w:t>
      </w:r>
      <w:r w:rsidRPr="00CE14B1">
        <w:rPr>
          <w:b/>
        </w:rPr>
        <w:t>manifiesta</w:t>
      </w:r>
      <w:r w:rsidRPr="00CE14B1">
        <w:t xml:space="preserve"> que:</w:t>
      </w:r>
    </w:p>
    <w:p w:rsidR="000C6FB0" w:rsidRDefault="000C6FB0" w:rsidP="000C6FB0">
      <w:pPr>
        <w:tabs>
          <w:tab w:val="right" w:pos="7920"/>
        </w:tabs>
        <w:spacing w:after="0"/>
        <w:jc w:val="both"/>
      </w:pPr>
      <w:r w:rsidRPr="00CE14B1">
        <w:rPr>
          <w:rFonts w:ascii="Wingdings 3" w:hAnsi="Wingdings 3"/>
          <w:color w:val="CC0000"/>
        </w:rPr>
        <w:t></w:t>
      </w:r>
      <w:r w:rsidRPr="00CE14B1">
        <w:rPr>
          <w:b/>
          <w:color w:val="CC0000"/>
          <w:sz w:val="20"/>
        </w:rPr>
        <w:t xml:space="preserve"> </w:t>
      </w:r>
      <w:proofErr w:type="gramStart"/>
      <w:r>
        <w:t>d</w:t>
      </w:r>
      <w:r w:rsidRPr="00CE14B1">
        <w:t>e</w:t>
      </w:r>
      <w:proofErr w:type="gramEnd"/>
      <w:r w:rsidRPr="00CE14B1">
        <w:t xml:space="preserve"> acuerdo con</w:t>
      </w:r>
      <w:r>
        <w:t xml:space="preserve"> </w:t>
      </w:r>
      <w:r w:rsidRPr="00347B5E">
        <w:rPr>
          <w:rFonts w:ascii="Calibri" w:hAnsi="Calibri" w:cs="Arial"/>
          <w:lang w:val="es-ES_tradnl"/>
        </w:rPr>
        <w:t xml:space="preserve">la obligación prevista </w:t>
      </w:r>
      <w:r>
        <w:rPr>
          <w:rFonts w:ascii="Calibri" w:hAnsi="Calibri" w:cs="Arial"/>
          <w:lang w:val="es-ES_tradnl"/>
        </w:rPr>
        <w:t xml:space="preserve">en el </w:t>
      </w:r>
      <w:r w:rsidRPr="00D848D0">
        <w:rPr>
          <w:i/>
          <w:color w:val="C00000"/>
        </w:rPr>
        <w:t>artículo 22.2. b) 1.º</w:t>
      </w:r>
      <w:r>
        <w:rPr>
          <w:i/>
          <w:color w:val="C00000"/>
        </w:rPr>
        <w:t xml:space="preserve"> </w:t>
      </w:r>
      <w:r w:rsidRPr="00CE14B1">
        <w:rPr>
          <w:i/>
          <w:color w:val="C00000"/>
        </w:rPr>
        <w:t>del Real Decreto 217/2008</w:t>
      </w:r>
      <w:r w:rsidRPr="00CE14B1">
        <w:t>, de 15 de febrero (</w:t>
      </w:r>
      <w:r w:rsidRPr="00EF3C78">
        <w:rPr>
          <w:i/>
          <w:color w:val="C00000"/>
        </w:rPr>
        <w:t>RD de  ESI</w:t>
      </w:r>
      <w:r>
        <w:t xml:space="preserve">), </w:t>
      </w:r>
      <w:r w:rsidRPr="00CE14B1">
        <w:rPr>
          <w:b/>
        </w:rPr>
        <w:t xml:space="preserve">ha valorado que </w:t>
      </w:r>
      <w:r w:rsidRPr="009F75BF">
        <w:t xml:space="preserve">el órgano de administración de la </w:t>
      </w:r>
      <w:r w:rsidR="002F4F6C">
        <w:t>entidad dominante de la SV/AV</w:t>
      </w:r>
      <w:r w:rsidRPr="009F75BF">
        <w:t xml:space="preserve"> </w:t>
      </w:r>
      <w:r w:rsidRPr="00467C3D">
        <w:rPr>
          <w:u w:val="single"/>
        </w:rPr>
        <w:t>posee colectivamente los conocimientos, competencias y experiencia oportunos</w:t>
      </w:r>
      <w:r w:rsidRPr="009F75BF">
        <w:t xml:space="preserve"> para poder entender las actividades de la </w:t>
      </w:r>
      <w:r w:rsidR="002F4F6C">
        <w:t>entidad</w:t>
      </w:r>
      <w:r w:rsidRPr="009F75BF">
        <w:t xml:space="preserve">, incluidos los principales riesgos de la misma, </w:t>
      </w:r>
      <w:r>
        <w:t>quedando asegurada la</w:t>
      </w:r>
      <w:r w:rsidRPr="009F75BF">
        <w:t xml:space="preserve"> capacidad efectiva del órgano de administración de la </w:t>
      </w:r>
      <w:r w:rsidR="002F4F6C">
        <w:t>entidad</w:t>
      </w:r>
      <w:r w:rsidRPr="009F75BF">
        <w:t xml:space="preserve"> de tomar decisiones de manera independiente y autónoma en beneficio de la </w:t>
      </w:r>
      <w:r w:rsidR="002F4F6C">
        <w:t>entidad</w:t>
      </w:r>
      <w:r>
        <w:t xml:space="preserve">, en los términos contemplados en los </w:t>
      </w:r>
      <w:r>
        <w:rPr>
          <w:i/>
          <w:color w:val="C00000"/>
        </w:rPr>
        <w:t>artículos</w:t>
      </w:r>
      <w:r w:rsidRPr="00CE14B1">
        <w:rPr>
          <w:i/>
          <w:color w:val="C00000"/>
        </w:rPr>
        <w:t xml:space="preserve"> 18</w:t>
      </w:r>
      <w:r>
        <w:rPr>
          <w:i/>
          <w:color w:val="C00000"/>
        </w:rPr>
        <w:t>4.1.</w:t>
      </w:r>
      <w:r w:rsidRPr="00CE14B1">
        <w:rPr>
          <w:color w:val="C00000"/>
        </w:rPr>
        <w:t xml:space="preserve"> </w:t>
      </w:r>
      <w:proofErr w:type="gramStart"/>
      <w:r w:rsidRPr="002918DC">
        <w:rPr>
          <w:i/>
          <w:color w:val="C00000"/>
        </w:rPr>
        <w:t>del</w:t>
      </w:r>
      <w:proofErr w:type="gramEnd"/>
      <w:r w:rsidRPr="002918DC">
        <w:rPr>
          <w:i/>
          <w:color w:val="C00000"/>
        </w:rPr>
        <w:t xml:space="preserve"> texto refundido de la Ley</w:t>
      </w:r>
      <w:r>
        <w:rPr>
          <w:i/>
          <w:color w:val="C00000"/>
        </w:rPr>
        <w:t xml:space="preserve"> </w:t>
      </w:r>
      <w:r w:rsidRPr="002918DC">
        <w:rPr>
          <w:i/>
          <w:color w:val="C00000"/>
        </w:rPr>
        <w:t>del texto refundido de la Ley del Mercado de Valores</w:t>
      </w:r>
      <w:r w:rsidRPr="00CE14B1">
        <w:t>, aprobado por el Real Decreto Legislativo 4/2015, de 23 de octubre (</w:t>
      </w:r>
      <w:r w:rsidRPr="00CE14B1">
        <w:rPr>
          <w:i/>
          <w:color w:val="C00000"/>
        </w:rPr>
        <w:t>TRLMV</w:t>
      </w:r>
      <w:r w:rsidRPr="002918DC">
        <w:t>)</w:t>
      </w:r>
      <w:r w:rsidRPr="00CE14B1">
        <w:t xml:space="preserve"> y </w:t>
      </w:r>
      <w:r>
        <w:rPr>
          <w:i/>
          <w:color w:val="C00000"/>
        </w:rPr>
        <w:t xml:space="preserve">20 bis 3. </w:t>
      </w:r>
      <w:proofErr w:type="gramStart"/>
      <w:r>
        <w:rPr>
          <w:i/>
          <w:color w:val="C00000"/>
        </w:rPr>
        <w:t>del</w:t>
      </w:r>
      <w:proofErr w:type="gramEnd"/>
      <w:r>
        <w:rPr>
          <w:i/>
          <w:color w:val="C00000"/>
        </w:rPr>
        <w:t xml:space="preserve"> RD de ESI</w:t>
      </w:r>
      <w:r w:rsidRPr="00500DB6">
        <w:t>:</w:t>
      </w:r>
    </w:p>
    <w:p w:rsidR="000C6FB0" w:rsidRDefault="000C6FB0" w:rsidP="000C6FB0">
      <w:pPr>
        <w:tabs>
          <w:tab w:val="right" w:pos="7920"/>
        </w:tabs>
        <w:spacing w:after="0"/>
        <w:jc w:val="both"/>
      </w:pPr>
    </w:p>
    <w:p w:rsidR="000C6FB0" w:rsidRDefault="000C6FB0" w:rsidP="000C6FB0">
      <w:pPr>
        <w:pStyle w:val="Textoindependiente2"/>
        <w:spacing w:after="0" w:line="240" w:lineRule="auto"/>
        <w:ind w:left="1560" w:hanging="1276"/>
        <w:rPr>
          <w:bCs/>
          <w:sz w:val="18"/>
          <w:szCs w:val="18"/>
        </w:rPr>
      </w:pPr>
      <w:r w:rsidRPr="00467C3D">
        <w:rPr>
          <w:b/>
          <w:bCs/>
        </w:rPr>
        <w:t xml:space="preserve">Sí </w:t>
      </w:r>
      <w:r w:rsidRPr="00CE14B1">
        <w:rPr>
          <w:bCs/>
        </w:rPr>
        <w:t xml:space="preserve"> </w:t>
      </w:r>
      <w:r w:rsidRPr="00CE14B1">
        <w:t xml:space="preserve">  </w:t>
      </w:r>
      <w:r w:rsidRPr="00CE14B1">
        <w:rPr>
          <w:bCs/>
          <w:sz w:val="18"/>
          <w:szCs w:val="18"/>
        </w:rPr>
        <w:fldChar w:fldCharType="begin">
          <w:ffData>
            <w:name w:val="Casilla1"/>
            <w:enabled/>
            <w:calcOnExit w:val="0"/>
            <w:checkBox>
              <w:size w:val="20"/>
              <w:default w:val="0"/>
            </w:checkBox>
          </w:ffData>
        </w:fldChar>
      </w:r>
      <w:r w:rsidRPr="00CE14B1">
        <w:rPr>
          <w:bCs/>
          <w:sz w:val="18"/>
          <w:szCs w:val="18"/>
        </w:rPr>
        <w:instrText xml:space="preserve"> FORMCHECKBOX </w:instrText>
      </w:r>
      <w:r w:rsidR="000A07AB">
        <w:rPr>
          <w:bCs/>
          <w:sz w:val="18"/>
          <w:szCs w:val="18"/>
        </w:rPr>
      </w:r>
      <w:r w:rsidR="000A07AB">
        <w:rPr>
          <w:bCs/>
          <w:sz w:val="18"/>
          <w:szCs w:val="18"/>
        </w:rPr>
        <w:fldChar w:fldCharType="separate"/>
      </w:r>
      <w:r w:rsidRPr="00CE14B1">
        <w:rPr>
          <w:bCs/>
          <w:sz w:val="18"/>
          <w:szCs w:val="18"/>
        </w:rPr>
        <w:fldChar w:fldCharType="end"/>
      </w:r>
      <w:r w:rsidRPr="00CE14B1">
        <w:rPr>
          <w:bCs/>
          <w:sz w:val="18"/>
          <w:szCs w:val="18"/>
        </w:rPr>
        <w:t xml:space="preserve">     </w:t>
      </w:r>
      <w:r w:rsidRPr="00CE14B1">
        <w:rPr>
          <w:rFonts w:ascii="Wingdings 3" w:hAnsi="Wingdings 3"/>
          <w:b/>
          <w:color w:val="948A54" w:themeColor="background2" w:themeShade="80"/>
          <w:sz w:val="18"/>
        </w:rPr>
        <w:t></w:t>
      </w:r>
      <w:r w:rsidRPr="00CE14B1">
        <w:rPr>
          <w:rFonts w:ascii="Wingdings 3" w:hAnsi="Wingdings 3"/>
          <w:color w:val="FF9900"/>
          <w:sz w:val="18"/>
          <w:szCs w:val="18"/>
        </w:rPr>
        <w:t></w:t>
      </w:r>
      <w:r>
        <w:rPr>
          <w:rFonts w:asciiTheme="minorHAnsi" w:hAnsiTheme="minorHAnsi" w:cstheme="minorHAnsi"/>
          <w:color w:val="FF9900"/>
          <w:sz w:val="18"/>
          <w:szCs w:val="18"/>
        </w:rPr>
        <w:t xml:space="preserve">  </w:t>
      </w:r>
      <w:r>
        <w:t xml:space="preserve">Atendiendo a la naturaleza, escala y complejidad de la actividad de la </w:t>
      </w:r>
      <w:r w:rsidR="00A1182B">
        <w:t>entidad</w:t>
      </w:r>
      <w:r>
        <w:t xml:space="preserve">, así como a la estructura del grupo al que, en su caso, pertenezca, en la siguiente tabla identifique las áreas de conocimiento analizadas por la </w:t>
      </w:r>
      <w:r w:rsidR="00A1182B">
        <w:t>entidad</w:t>
      </w:r>
      <w:r>
        <w:t>, como consecuencia de los cambios previstos en su órgano de administración, dirección general/asimilados, así como el número de miembros del órgano de administración que posee conocimientos, competencia y experiencia en cada una de las áreas valoradas:</w:t>
      </w:r>
    </w:p>
    <w:tbl>
      <w:tblPr>
        <w:tblStyle w:val="Tablaconcuadrcula"/>
        <w:tblpPr w:leftFromText="141" w:rightFromText="141" w:vertAnchor="text" w:horzAnchor="margin" w:tblpX="392" w:tblpY="157"/>
        <w:tblW w:w="0" w:type="auto"/>
        <w:tblLook w:val="04A0" w:firstRow="1" w:lastRow="0" w:firstColumn="1" w:lastColumn="0" w:noHBand="0" w:noVBand="1"/>
      </w:tblPr>
      <w:tblGrid>
        <w:gridCol w:w="3794"/>
        <w:gridCol w:w="2126"/>
        <w:gridCol w:w="2288"/>
      </w:tblGrid>
      <w:tr w:rsidR="000C6FB0" w:rsidRPr="00CE14B1" w:rsidTr="00E53DDE">
        <w:tc>
          <w:tcPr>
            <w:tcW w:w="3794" w:type="dxa"/>
            <w:vMerge w:val="restart"/>
          </w:tcPr>
          <w:p w:rsidR="000C6FB0" w:rsidRPr="00DF07FA" w:rsidRDefault="000C6FB0" w:rsidP="00E53DDE">
            <w:pPr>
              <w:rPr>
                <w:rFonts w:ascii="Calibri" w:eastAsia="Times New Roman" w:hAnsi="Calibri" w:cs="Calibri"/>
                <w:b/>
                <w:bCs/>
                <w:sz w:val="20"/>
                <w:szCs w:val="20"/>
                <w:lang w:eastAsia="es-ES"/>
              </w:rPr>
            </w:pPr>
          </w:p>
          <w:p w:rsidR="000C6FB0" w:rsidRPr="00DF07FA" w:rsidRDefault="000C6FB0" w:rsidP="00E53DDE">
            <w:pPr>
              <w:rPr>
                <w:rFonts w:cstheme="minorHAnsi"/>
                <w:b/>
                <w:sz w:val="20"/>
                <w:szCs w:val="20"/>
                <w:lang w:eastAsia="es-ES"/>
              </w:rPr>
            </w:pPr>
            <w:r w:rsidRPr="00DF07FA">
              <w:rPr>
                <w:rFonts w:ascii="Calibri" w:eastAsia="Times New Roman" w:hAnsi="Calibri" w:cs="Calibri"/>
                <w:b/>
                <w:bCs/>
                <w:sz w:val="20"/>
                <w:szCs w:val="20"/>
                <w:lang w:eastAsia="es-ES"/>
              </w:rPr>
              <w:t>Áreas de conocimiento</w:t>
            </w:r>
            <w:r>
              <w:rPr>
                <w:rFonts w:ascii="Calibri" w:eastAsia="Times New Roman" w:hAnsi="Calibri" w:cs="Calibri"/>
                <w:b/>
                <w:bCs/>
                <w:sz w:val="20"/>
                <w:szCs w:val="20"/>
                <w:lang w:eastAsia="es-ES"/>
              </w:rPr>
              <w:t xml:space="preserve"> (</w:t>
            </w:r>
            <w:r w:rsidRPr="008D690A">
              <w:rPr>
                <w:rFonts w:ascii="Calibri" w:eastAsia="Times New Roman" w:hAnsi="Calibri" w:cs="Calibri"/>
                <w:b/>
                <w:bCs/>
                <w:color w:val="C00000"/>
                <w:lang w:eastAsia="es-ES"/>
              </w:rPr>
              <w:t>*</w:t>
            </w:r>
            <w:r>
              <w:rPr>
                <w:rFonts w:ascii="Calibri" w:eastAsia="Times New Roman" w:hAnsi="Calibri" w:cs="Calibri"/>
                <w:b/>
                <w:bCs/>
                <w:sz w:val="20"/>
                <w:szCs w:val="20"/>
                <w:lang w:eastAsia="es-ES"/>
              </w:rPr>
              <w:t>)</w:t>
            </w:r>
          </w:p>
        </w:tc>
        <w:tc>
          <w:tcPr>
            <w:tcW w:w="4414" w:type="dxa"/>
            <w:gridSpan w:val="2"/>
            <w:vAlign w:val="center"/>
          </w:tcPr>
          <w:p w:rsidR="000C6FB0" w:rsidRPr="00DF07FA" w:rsidRDefault="000C6FB0" w:rsidP="00E53DDE">
            <w:pPr>
              <w:jc w:val="both"/>
              <w:rPr>
                <w:rFonts w:cstheme="minorHAnsi"/>
                <w:b/>
                <w:sz w:val="20"/>
                <w:szCs w:val="20"/>
                <w:lang w:eastAsia="es-ES"/>
              </w:rPr>
            </w:pPr>
            <w:r w:rsidRPr="00DF07FA">
              <w:rPr>
                <w:rFonts w:ascii="Calibri" w:eastAsia="Times New Roman" w:hAnsi="Calibri" w:cs="Calibri"/>
                <w:b/>
                <w:bCs/>
                <w:color w:val="000000"/>
                <w:sz w:val="20"/>
                <w:szCs w:val="20"/>
                <w:lang w:eastAsia="es-ES"/>
              </w:rPr>
              <w:t>Nº de miembros del órgano de administración que satisfagan colectivamente los conocimientos, competencias y experiencia requeridos</w:t>
            </w:r>
          </w:p>
        </w:tc>
      </w:tr>
      <w:tr w:rsidR="000C6FB0" w:rsidRPr="00CE14B1" w:rsidTr="00E53DDE">
        <w:tc>
          <w:tcPr>
            <w:tcW w:w="3794" w:type="dxa"/>
            <w:vMerge/>
            <w:vAlign w:val="center"/>
          </w:tcPr>
          <w:p w:rsidR="000C6FB0" w:rsidRPr="00DF07FA" w:rsidRDefault="000C6FB0" w:rsidP="00E53DDE">
            <w:pPr>
              <w:rPr>
                <w:rFonts w:cstheme="minorHAnsi"/>
                <w:sz w:val="20"/>
                <w:szCs w:val="20"/>
                <w:lang w:eastAsia="es-ES"/>
              </w:rPr>
            </w:pPr>
          </w:p>
        </w:tc>
        <w:tc>
          <w:tcPr>
            <w:tcW w:w="2126" w:type="dxa"/>
            <w:vAlign w:val="center"/>
          </w:tcPr>
          <w:p w:rsidR="000C6FB0" w:rsidRPr="00DF07FA" w:rsidRDefault="000C6FB0" w:rsidP="00E53DDE">
            <w:pPr>
              <w:rPr>
                <w:rFonts w:cstheme="minorHAnsi"/>
                <w:sz w:val="20"/>
                <w:szCs w:val="20"/>
                <w:lang w:eastAsia="es-ES"/>
              </w:rPr>
            </w:pPr>
            <w:r w:rsidRPr="00DF07FA">
              <w:rPr>
                <w:rFonts w:cstheme="minorHAnsi"/>
                <w:sz w:val="20"/>
                <w:szCs w:val="20"/>
                <w:lang w:eastAsia="es-ES"/>
              </w:rPr>
              <w:t>Conocimientos</w:t>
            </w:r>
          </w:p>
        </w:tc>
        <w:tc>
          <w:tcPr>
            <w:tcW w:w="2288" w:type="dxa"/>
            <w:vAlign w:val="center"/>
          </w:tcPr>
          <w:p w:rsidR="000C6FB0" w:rsidRPr="00DF07FA" w:rsidRDefault="000C6FB0" w:rsidP="00A1182B">
            <w:pPr>
              <w:rPr>
                <w:rFonts w:cstheme="minorHAnsi"/>
                <w:sz w:val="20"/>
                <w:szCs w:val="20"/>
                <w:lang w:eastAsia="es-ES"/>
              </w:rPr>
            </w:pPr>
            <w:r w:rsidRPr="00DF07FA">
              <w:rPr>
                <w:rFonts w:cstheme="minorHAnsi"/>
                <w:sz w:val="20"/>
                <w:szCs w:val="20"/>
                <w:lang w:eastAsia="es-ES"/>
              </w:rPr>
              <w:t xml:space="preserve">Competencias y experiencia para dirigir/supervisar la </w:t>
            </w:r>
            <w:r w:rsidR="00A1182B">
              <w:rPr>
                <w:rFonts w:cstheme="minorHAnsi"/>
                <w:sz w:val="20"/>
                <w:szCs w:val="20"/>
                <w:lang w:eastAsia="es-ES"/>
              </w:rPr>
              <w:t xml:space="preserve">Entidad dominante </w:t>
            </w:r>
          </w:p>
        </w:tc>
      </w:tr>
      <w:tr w:rsidR="000C6FB0" w:rsidRPr="00CE14B1" w:rsidTr="00E53DDE">
        <w:tc>
          <w:tcPr>
            <w:tcW w:w="3794" w:type="dxa"/>
          </w:tcPr>
          <w:p w:rsidR="000C6FB0" w:rsidRPr="00CE14B1" w:rsidRDefault="000C6FB0" w:rsidP="00E53DDE">
            <w:pPr>
              <w:rPr>
                <w:rFonts w:cstheme="minorHAnsi"/>
                <w:lang w:eastAsia="es-ES"/>
              </w:rPr>
            </w:pPr>
            <w:r>
              <w:rPr>
                <w:rFonts w:cs="Calibri"/>
                <w:sz w:val="20"/>
                <w:szCs w:val="20"/>
              </w:rPr>
              <w:t>N</w:t>
            </w:r>
            <w:r w:rsidRPr="00CE14B1">
              <w:rPr>
                <w:rFonts w:cs="Calibri"/>
                <w:sz w:val="20"/>
                <w:szCs w:val="20"/>
              </w:rPr>
              <w:t xml:space="preserve">aturaleza del negocio de la </w:t>
            </w:r>
            <w:r w:rsidR="00A1182B">
              <w:rPr>
                <w:rFonts w:cstheme="minorHAnsi"/>
                <w:sz w:val="20"/>
                <w:szCs w:val="20"/>
                <w:lang w:eastAsia="es-ES"/>
              </w:rPr>
              <w:t xml:space="preserve"> Entidad dominante</w:t>
            </w:r>
            <w:r w:rsidR="00A1182B" w:rsidRPr="00CE14B1">
              <w:rPr>
                <w:rFonts w:cs="Calibri"/>
                <w:sz w:val="20"/>
                <w:szCs w:val="20"/>
              </w:rPr>
              <w:t xml:space="preserve"> </w:t>
            </w:r>
            <w:r w:rsidRPr="00CE14B1">
              <w:rPr>
                <w:rFonts w:cs="Calibri"/>
                <w:sz w:val="20"/>
                <w:szCs w:val="20"/>
              </w:rPr>
              <w:t xml:space="preserve"> y los principales riesgos asociados al mismo</w:t>
            </w:r>
          </w:p>
        </w:tc>
        <w:tc>
          <w:tcPr>
            <w:tcW w:w="2126" w:type="dxa"/>
          </w:tcPr>
          <w:p w:rsidR="000C6FB0" w:rsidRPr="00CE14B1" w:rsidRDefault="000C6FB0" w:rsidP="00E53DDE">
            <w:pPr>
              <w:jc w:val="center"/>
              <w:rPr>
                <w:rFonts w:cstheme="minorHAnsi"/>
                <w:lang w:eastAsia="es-ES"/>
              </w:rPr>
            </w:pPr>
          </w:p>
        </w:tc>
        <w:tc>
          <w:tcPr>
            <w:tcW w:w="2288" w:type="dxa"/>
          </w:tcPr>
          <w:p w:rsidR="000C6FB0" w:rsidRPr="00CE14B1" w:rsidRDefault="000C6FB0" w:rsidP="00E53DDE">
            <w:pPr>
              <w:jc w:val="center"/>
              <w:rPr>
                <w:rFonts w:cstheme="minorHAnsi"/>
                <w:lang w:eastAsia="es-ES"/>
              </w:rPr>
            </w:pPr>
          </w:p>
        </w:tc>
      </w:tr>
      <w:tr w:rsidR="000C6FB0" w:rsidRPr="00CE14B1" w:rsidTr="00E53DDE">
        <w:tc>
          <w:tcPr>
            <w:tcW w:w="3794" w:type="dxa"/>
          </w:tcPr>
          <w:p w:rsidR="000C6FB0" w:rsidRPr="00CE14B1" w:rsidRDefault="000C6FB0" w:rsidP="00A1182B">
            <w:pPr>
              <w:rPr>
                <w:lang w:eastAsia="es-ES"/>
              </w:rPr>
            </w:pPr>
            <w:r>
              <w:rPr>
                <w:rFonts w:ascii="Calibri" w:eastAsia="Times New Roman" w:hAnsi="Calibri" w:cs="Calibri"/>
                <w:sz w:val="20"/>
                <w:szCs w:val="20"/>
                <w:lang w:eastAsia="es-ES"/>
              </w:rPr>
              <w:t>S</w:t>
            </w:r>
            <w:r w:rsidRPr="00CE14B1">
              <w:rPr>
                <w:rFonts w:ascii="Calibri" w:eastAsia="Times New Roman" w:hAnsi="Calibri" w:cs="Calibri"/>
                <w:sz w:val="20"/>
                <w:szCs w:val="20"/>
                <w:lang w:eastAsia="es-ES"/>
              </w:rPr>
              <w:t xml:space="preserve">ervicio/actividad de inversión y servicio auxiliar de la </w:t>
            </w:r>
            <w:r w:rsidR="00A1182B">
              <w:rPr>
                <w:rFonts w:ascii="Calibri" w:eastAsia="Times New Roman" w:hAnsi="Calibri" w:cs="Calibri"/>
                <w:sz w:val="20"/>
                <w:szCs w:val="20"/>
                <w:lang w:eastAsia="es-ES"/>
              </w:rPr>
              <w:t>SV/AV</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Á</w:t>
            </w:r>
            <w:r w:rsidRPr="00CE14B1">
              <w:rPr>
                <w:rFonts w:ascii="Calibri" w:eastAsia="Times New Roman" w:hAnsi="Calibri" w:cs="Calibri"/>
                <w:sz w:val="20"/>
                <w:szCs w:val="20"/>
                <w:lang w:eastAsia="es-ES"/>
              </w:rPr>
              <w:t>reas relevantes de competencia sectorial/ financiera</w:t>
            </w:r>
            <w:r>
              <w:rPr>
                <w:rFonts w:ascii="Calibri" w:eastAsia="Times New Roman" w:hAnsi="Calibri" w:cs="Calibri"/>
                <w:sz w:val="20"/>
                <w:szCs w:val="20"/>
                <w:lang w:eastAsia="es-ES"/>
              </w:rPr>
              <w:t xml:space="preserve"> (</w:t>
            </w:r>
            <w:r w:rsidRPr="00410F40">
              <w:rPr>
                <w:rFonts w:ascii="Calibri" w:eastAsia="Times New Roman" w:hAnsi="Calibri" w:cs="Calibri"/>
                <w:sz w:val="18"/>
                <w:szCs w:val="18"/>
                <w:lang w:eastAsia="es-ES"/>
              </w:rPr>
              <w:t>incluyendo los mercados financieros y de capital, solvencia y modelos</w:t>
            </w:r>
            <w:r>
              <w:rPr>
                <w:rFonts w:ascii="Calibri" w:eastAsia="Times New Roman" w:hAnsi="Calibri" w:cs="Calibri"/>
                <w:sz w:val="20"/>
                <w:szCs w:val="20"/>
                <w:lang w:eastAsia="es-ES"/>
              </w:rPr>
              <w:t>)</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A1182B">
            <w:pPr>
              <w:rPr>
                <w:lang w:eastAsia="es-ES"/>
              </w:rPr>
            </w:pPr>
            <w:r>
              <w:rPr>
                <w:rFonts w:ascii="Calibri" w:eastAsia="Times New Roman" w:hAnsi="Calibri" w:cs="Calibri"/>
                <w:sz w:val="20"/>
                <w:szCs w:val="20"/>
                <w:lang w:eastAsia="es-ES"/>
              </w:rPr>
              <w:t>C</w:t>
            </w:r>
            <w:r w:rsidRPr="00CE14B1">
              <w:rPr>
                <w:rFonts w:ascii="Calibri" w:eastAsia="Times New Roman" w:hAnsi="Calibri" w:cs="Calibri"/>
                <w:sz w:val="20"/>
                <w:szCs w:val="20"/>
                <w:lang w:eastAsia="es-ES"/>
              </w:rPr>
              <w:t>ontabilidad financiera</w:t>
            </w:r>
            <w:r>
              <w:rPr>
                <w:rFonts w:ascii="Calibri" w:eastAsia="Times New Roman" w:hAnsi="Calibri" w:cs="Calibri"/>
                <w:sz w:val="20"/>
                <w:szCs w:val="20"/>
                <w:lang w:eastAsia="es-ES"/>
              </w:rPr>
              <w:t>/</w:t>
            </w:r>
            <w:r w:rsidRPr="00CE14B1">
              <w:rPr>
                <w:rFonts w:ascii="Calibri" w:eastAsia="Times New Roman" w:hAnsi="Calibri" w:cs="Calibri"/>
                <w:sz w:val="20"/>
                <w:szCs w:val="20"/>
                <w:lang w:eastAsia="es-ES"/>
              </w:rPr>
              <w:t xml:space="preserve"> presentación de estados financieros </w:t>
            </w:r>
            <w:r w:rsidR="00A1182B" w:rsidRPr="00CE14B1">
              <w:rPr>
                <w:rFonts w:ascii="Calibri" w:eastAsia="Times New Roman" w:hAnsi="Calibri" w:cs="Calibri"/>
                <w:sz w:val="20"/>
                <w:szCs w:val="20"/>
                <w:lang w:eastAsia="es-ES"/>
              </w:rPr>
              <w:t xml:space="preserve">de la </w:t>
            </w:r>
            <w:r w:rsidR="00A1182B">
              <w:rPr>
                <w:rFonts w:ascii="Calibri" w:eastAsia="Times New Roman" w:hAnsi="Calibri" w:cs="Calibri"/>
                <w:sz w:val="20"/>
                <w:szCs w:val="20"/>
                <w:lang w:eastAsia="es-ES"/>
              </w:rPr>
              <w:t>SV/AV y su grupo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G</w:t>
            </w:r>
            <w:r w:rsidRPr="00CE14B1">
              <w:rPr>
                <w:rFonts w:ascii="Calibri" w:eastAsia="Times New Roman" w:hAnsi="Calibri" w:cs="Calibri"/>
                <w:sz w:val="20"/>
                <w:szCs w:val="20"/>
                <w:lang w:eastAsia="es-ES"/>
              </w:rPr>
              <w:t>estión de riesgos, cumplimiento normativo y auditoría interna</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T</w:t>
            </w:r>
            <w:r w:rsidRPr="00CE14B1">
              <w:rPr>
                <w:rFonts w:ascii="Calibri" w:eastAsia="Times New Roman" w:hAnsi="Calibri" w:cs="Calibri"/>
                <w:sz w:val="20"/>
                <w:szCs w:val="20"/>
                <w:lang w:eastAsia="es-ES"/>
              </w:rPr>
              <w:t>ecnología de la información y seguridad</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M</w:t>
            </w:r>
            <w:r w:rsidRPr="00CE14B1">
              <w:rPr>
                <w:rFonts w:ascii="Calibri" w:eastAsia="Times New Roman" w:hAnsi="Calibri" w:cs="Calibri"/>
                <w:sz w:val="20"/>
                <w:szCs w:val="20"/>
                <w:lang w:eastAsia="es-ES"/>
              </w:rPr>
              <w:t>ercados</w:t>
            </w:r>
            <w:r>
              <w:rPr>
                <w:rFonts w:ascii="Calibri" w:eastAsia="Times New Roman" w:hAnsi="Calibri" w:cs="Calibri"/>
                <w:sz w:val="20"/>
                <w:szCs w:val="20"/>
                <w:lang w:eastAsia="es-ES"/>
              </w:rPr>
              <w:t xml:space="preserve"> (</w:t>
            </w:r>
            <w:r w:rsidRPr="008E028E">
              <w:rPr>
                <w:rFonts w:ascii="Calibri" w:eastAsia="Times New Roman" w:hAnsi="Calibri" w:cs="Calibri"/>
                <w:sz w:val="18"/>
                <w:szCs w:val="18"/>
                <w:lang w:eastAsia="es-ES"/>
              </w:rPr>
              <w:t>locales, regionales y globales</w:t>
            </w:r>
            <w:r>
              <w:rPr>
                <w:rFonts w:ascii="Calibri" w:eastAsia="Times New Roman" w:hAnsi="Calibri" w:cs="Calibri"/>
                <w:sz w:val="20"/>
                <w:szCs w:val="20"/>
                <w:lang w:eastAsia="es-ES"/>
              </w:rPr>
              <w:t>)</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sidRPr="00CE14B1">
              <w:rPr>
                <w:rFonts w:ascii="Calibri" w:eastAsia="Times New Roman" w:hAnsi="Calibri" w:cs="Calibri"/>
                <w:sz w:val="20"/>
                <w:szCs w:val="20"/>
                <w:lang w:eastAsia="es-ES"/>
              </w:rPr>
              <w:t>entorno legal y normativo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CE14B1" w:rsidRDefault="000C6FB0" w:rsidP="00E53DDE">
            <w:pPr>
              <w:rPr>
                <w:lang w:eastAsia="es-ES"/>
              </w:rPr>
            </w:pPr>
            <w:r>
              <w:rPr>
                <w:rFonts w:ascii="Calibri" w:eastAsia="Times New Roman" w:hAnsi="Calibri" w:cs="Calibri"/>
                <w:sz w:val="20"/>
                <w:szCs w:val="20"/>
                <w:lang w:eastAsia="es-ES"/>
              </w:rPr>
              <w:t>H</w:t>
            </w:r>
            <w:r w:rsidRPr="00CE14B1">
              <w:rPr>
                <w:rFonts w:ascii="Calibri" w:eastAsia="Times New Roman" w:hAnsi="Calibri" w:cs="Calibri"/>
                <w:sz w:val="20"/>
                <w:szCs w:val="20"/>
                <w:lang w:eastAsia="es-ES"/>
              </w:rPr>
              <w:t>abilidades directivas y experiencia</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r w:rsidR="000C6FB0" w:rsidRPr="00CE14B1" w:rsidTr="00E53DDE">
        <w:tc>
          <w:tcPr>
            <w:tcW w:w="3794" w:type="dxa"/>
          </w:tcPr>
          <w:p w:rsidR="000C6FB0" w:rsidRPr="00A1182B" w:rsidRDefault="000C6FB0" w:rsidP="00E53DDE">
            <w:pPr>
              <w:rPr>
                <w:sz w:val="20"/>
                <w:szCs w:val="20"/>
                <w:lang w:eastAsia="es-ES"/>
              </w:rPr>
            </w:pPr>
            <w:r w:rsidRPr="00A1182B">
              <w:rPr>
                <w:rFonts w:ascii="Calibri" w:eastAsia="Times New Roman" w:hAnsi="Calibri" w:cs="Calibri"/>
                <w:sz w:val="20"/>
                <w:szCs w:val="20"/>
                <w:lang w:eastAsia="es-ES"/>
              </w:rPr>
              <w:t>Gestión de grupos (nacionales y/o internacionales) y los riesgos relacionados con las estructuras de grupo, en su caso</w:t>
            </w:r>
          </w:p>
        </w:tc>
        <w:tc>
          <w:tcPr>
            <w:tcW w:w="2126" w:type="dxa"/>
          </w:tcPr>
          <w:p w:rsidR="000C6FB0" w:rsidRPr="00CE14B1" w:rsidRDefault="000C6FB0" w:rsidP="00E53DDE">
            <w:pPr>
              <w:jc w:val="center"/>
              <w:rPr>
                <w:lang w:eastAsia="es-ES"/>
              </w:rPr>
            </w:pPr>
          </w:p>
        </w:tc>
        <w:tc>
          <w:tcPr>
            <w:tcW w:w="2288" w:type="dxa"/>
          </w:tcPr>
          <w:p w:rsidR="000C6FB0" w:rsidRPr="00CE14B1" w:rsidRDefault="000C6FB0" w:rsidP="00E53DDE">
            <w:pPr>
              <w:jc w:val="center"/>
              <w:rPr>
                <w:lang w:eastAsia="es-ES"/>
              </w:rPr>
            </w:pPr>
          </w:p>
        </w:tc>
      </w:tr>
    </w:tbl>
    <w:p w:rsidR="000C6FB0" w:rsidRPr="009C3211" w:rsidRDefault="000C6FB0" w:rsidP="000C6FB0">
      <w:pPr>
        <w:pStyle w:val="Vietas1"/>
        <w:numPr>
          <w:ilvl w:val="0"/>
          <w:numId w:val="0"/>
        </w:numPr>
        <w:spacing w:before="0" w:after="0"/>
        <w:ind w:left="567" w:hanging="283"/>
        <w:rPr>
          <w:rFonts w:cs="Calibri"/>
          <w:b w:val="0"/>
          <w:sz w:val="18"/>
        </w:rPr>
      </w:pPr>
      <w:r>
        <w:rPr>
          <w:rFonts w:cs="Calibri"/>
          <w:b w:val="0"/>
          <w:bCs/>
          <w:sz w:val="20"/>
          <w:szCs w:val="20"/>
        </w:rPr>
        <w:t>(</w:t>
      </w:r>
      <w:r w:rsidRPr="008D690A">
        <w:rPr>
          <w:rFonts w:cs="Calibri"/>
          <w:b w:val="0"/>
          <w:bCs/>
          <w:color w:val="C00000"/>
          <w:szCs w:val="22"/>
        </w:rPr>
        <w:t>*</w:t>
      </w:r>
      <w:r>
        <w:rPr>
          <w:rFonts w:cs="Calibri"/>
          <w:b w:val="0"/>
          <w:bCs/>
          <w:sz w:val="20"/>
          <w:szCs w:val="20"/>
        </w:rPr>
        <w:t xml:space="preserve">) </w:t>
      </w:r>
      <w:r w:rsidRPr="009C3211">
        <w:rPr>
          <w:rFonts w:cs="Calibri"/>
          <w:b w:val="0"/>
          <w:sz w:val="18"/>
        </w:rPr>
        <w:t xml:space="preserve">En caso de </w:t>
      </w:r>
      <w:r>
        <w:rPr>
          <w:rFonts w:cs="Calibri"/>
          <w:b w:val="0"/>
          <w:sz w:val="18"/>
        </w:rPr>
        <w:t xml:space="preserve">no ser necesaria la evaluación de conocimientos, competencia y experiencia en alguna materia, dada la naturaleza del negocio de la entidad, deberá indicar </w:t>
      </w:r>
      <w:r w:rsidRPr="008D690A">
        <w:rPr>
          <w:rFonts w:cs="Calibri"/>
          <w:sz w:val="18"/>
        </w:rPr>
        <w:t>N/A</w:t>
      </w:r>
      <w:r>
        <w:rPr>
          <w:rFonts w:cs="Calibri"/>
          <w:b w:val="0"/>
          <w:sz w:val="18"/>
        </w:rPr>
        <w:t>, explicando el motivo en la propia tabla</w:t>
      </w:r>
      <w:r w:rsidRPr="008D690A">
        <w:rPr>
          <w:rFonts w:cs="Calibri"/>
          <w:sz w:val="18"/>
        </w:rPr>
        <w:t>.</w:t>
      </w:r>
    </w:p>
    <w:p w:rsidR="000C6FB0" w:rsidRPr="008B588F" w:rsidRDefault="000C6FB0" w:rsidP="000C6FB0">
      <w:pPr>
        <w:pStyle w:val="Vietas1"/>
        <w:numPr>
          <w:ilvl w:val="0"/>
          <w:numId w:val="0"/>
        </w:numPr>
        <w:spacing w:before="0" w:after="0"/>
        <w:ind w:left="709" w:hanging="357"/>
        <w:rPr>
          <w:rFonts w:cs="Calibri"/>
          <w:b w:val="0"/>
          <w:sz w:val="18"/>
        </w:rPr>
      </w:pPr>
      <w:r w:rsidRPr="008B588F">
        <w:rPr>
          <w:rFonts w:cs="Calibri"/>
          <w:b w:val="0"/>
          <w:sz w:val="18"/>
        </w:rPr>
        <w:t xml:space="preserve">Al </w:t>
      </w:r>
      <w:r w:rsidRPr="008B588F">
        <w:rPr>
          <w:b w:val="0"/>
          <w:sz w:val="18"/>
        </w:rPr>
        <w:t>completar</w:t>
      </w:r>
      <w:r w:rsidRPr="008B588F">
        <w:rPr>
          <w:rFonts w:cs="Calibri"/>
          <w:b w:val="0"/>
          <w:sz w:val="18"/>
        </w:rPr>
        <w:t xml:space="preserve"> la tabla, por favor, tenga en cuenta que:</w:t>
      </w:r>
    </w:p>
    <w:p w:rsidR="000C6FB0" w:rsidRPr="008B588F" w:rsidRDefault="000C6FB0" w:rsidP="000C6FB0">
      <w:pPr>
        <w:pStyle w:val="Vietas1"/>
        <w:numPr>
          <w:ilvl w:val="0"/>
          <w:numId w:val="2"/>
        </w:numPr>
        <w:spacing w:before="0" w:after="0"/>
        <w:ind w:left="567" w:hanging="139"/>
        <w:rPr>
          <w:rFonts w:cs="Calibri"/>
          <w:b w:val="0"/>
          <w:sz w:val="18"/>
        </w:rPr>
      </w:pPr>
      <w:r w:rsidRPr="008B588F">
        <w:rPr>
          <w:b w:val="0"/>
          <w:sz w:val="18"/>
        </w:rPr>
        <w:t>Todas</w:t>
      </w:r>
      <w:r w:rsidRPr="008B588F">
        <w:rPr>
          <w:rFonts w:cs="Calibri"/>
          <w:b w:val="0"/>
          <w:sz w:val="18"/>
        </w:rPr>
        <w:t xml:space="preserve"> las áreas de conocimientos necesarias relativas a las actividades de la </w:t>
      </w:r>
      <w:r w:rsidR="00A1182B">
        <w:rPr>
          <w:rFonts w:cs="Calibri"/>
          <w:b w:val="0"/>
          <w:sz w:val="18"/>
        </w:rPr>
        <w:t>Entidad dominante</w:t>
      </w:r>
      <w:r w:rsidRPr="008B588F">
        <w:rPr>
          <w:rFonts w:cs="Calibri"/>
          <w:b w:val="0"/>
          <w:sz w:val="18"/>
        </w:rPr>
        <w:t xml:space="preserve">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deben tener las habilidades para presentar sus puntos de vista e influir en el proceso de toma de decisiones dentro del órgano de administración; </w:t>
      </w:r>
    </w:p>
    <w:p w:rsidR="000C6FB0" w:rsidRDefault="000C6FB0" w:rsidP="000C6FB0">
      <w:pPr>
        <w:pStyle w:val="Vietas1"/>
        <w:numPr>
          <w:ilvl w:val="0"/>
          <w:numId w:val="2"/>
        </w:numPr>
        <w:spacing w:before="0" w:after="0"/>
        <w:ind w:left="567" w:hanging="139"/>
        <w:rPr>
          <w:rFonts w:cs="Calibri"/>
          <w:b w:val="0"/>
          <w:sz w:val="18"/>
        </w:rPr>
      </w:pPr>
      <w:r w:rsidRPr="008B588F">
        <w:rPr>
          <w:b w:val="0"/>
          <w:sz w:val="18"/>
        </w:rPr>
        <w:t>El</w:t>
      </w:r>
      <w:r w:rsidRPr="008B588F">
        <w:rPr>
          <w:rFonts w:cs="Calibri"/>
          <w:b w:val="0"/>
          <w:sz w:val="18"/>
        </w:rPr>
        <w:t xml:space="preserve"> órgano de administración en su conjunto tendrá que tener un entendimiento apropiado de aquellas áreas de las que los miembros del órgano de administración sean responsables colectivamente, así como las capacidades y habilidades necesarias para gestionar y supervisar la </w:t>
      </w:r>
      <w:r w:rsidR="00A1182B">
        <w:rPr>
          <w:rFonts w:cs="Calibri"/>
          <w:b w:val="0"/>
          <w:sz w:val="18"/>
        </w:rPr>
        <w:t>Entidad dominante</w:t>
      </w:r>
      <w:r w:rsidRPr="008B588F">
        <w:rPr>
          <w:rFonts w:cs="Calibri"/>
          <w:b w:val="0"/>
          <w:sz w:val="18"/>
        </w:rPr>
        <w:t xml:space="preserve"> de manera efectiva. </w:t>
      </w:r>
    </w:p>
    <w:p w:rsidR="000C6FB0" w:rsidRDefault="000C6FB0" w:rsidP="000C6FB0">
      <w:pPr>
        <w:tabs>
          <w:tab w:val="right" w:pos="7920"/>
        </w:tabs>
        <w:jc w:val="right"/>
        <w:rPr>
          <w:rFonts w:ascii="Calibri" w:hAnsi="Calibri"/>
          <w:b/>
          <w:i/>
          <w:shd w:val="clear" w:color="auto" w:fill="E5B8B7" w:themeFill="accent2" w:themeFillTint="66"/>
        </w:rPr>
      </w:pPr>
    </w:p>
    <w:p w:rsidR="000C6FB0" w:rsidRDefault="000C6FB0" w:rsidP="000C6FB0">
      <w:pPr>
        <w:tabs>
          <w:tab w:val="right" w:pos="7920"/>
        </w:tabs>
        <w:jc w:val="right"/>
        <w:rPr>
          <w:rFonts w:ascii="Calibri" w:hAnsi="Calibri"/>
          <w:b/>
          <w:i/>
          <w:shd w:val="clear" w:color="auto" w:fill="E5B8B7" w:themeFill="accent2" w:themeFillTint="66"/>
        </w:rPr>
      </w:pPr>
    </w:p>
    <w:p w:rsidR="000C6FB0" w:rsidRDefault="000C6FB0" w:rsidP="000C6FB0">
      <w:pPr>
        <w:tabs>
          <w:tab w:val="right" w:pos="7920"/>
        </w:tabs>
        <w:jc w:val="right"/>
        <w:rPr>
          <w:rFonts w:ascii="Calibri" w:hAnsi="Calibri"/>
          <w:b/>
          <w:i/>
          <w:shd w:val="clear" w:color="auto" w:fill="E5B8B7" w:themeFill="accent2" w:themeFillTint="66"/>
        </w:rPr>
      </w:pPr>
    </w:p>
    <w:p w:rsidR="000C6FB0" w:rsidRPr="00CE14B1" w:rsidRDefault="000C6FB0" w:rsidP="000C6FB0">
      <w:pPr>
        <w:tabs>
          <w:tab w:val="right" w:pos="7920"/>
        </w:tabs>
        <w:jc w:val="right"/>
        <w:rPr>
          <w:rFonts w:ascii="Arial" w:hAnsi="Arial" w:cs="Arial"/>
          <w:sz w:val="18"/>
          <w:szCs w:val="18"/>
        </w:rPr>
      </w:pPr>
      <w:proofErr w:type="gramStart"/>
      <w:r w:rsidRPr="00CE14B1">
        <w:rPr>
          <w:rFonts w:ascii="Arial" w:hAnsi="Arial" w:cs="Arial"/>
          <w:sz w:val="18"/>
          <w:szCs w:val="18"/>
        </w:rPr>
        <w:t xml:space="preserve">En </w:t>
      </w:r>
      <w:r w:rsidRPr="00CE14B1">
        <w:rPr>
          <w:rStyle w:val="SombreadoRelleno"/>
          <w:szCs w:val="18"/>
        </w:rPr>
        <w:t>..............................</w:t>
      </w:r>
      <w:proofErr w:type="gramEnd"/>
      <w:r w:rsidRPr="00CE14B1">
        <w:rPr>
          <w:rFonts w:ascii="Arial" w:hAnsi="Arial" w:cs="Arial"/>
          <w:sz w:val="18"/>
          <w:szCs w:val="18"/>
        </w:rPr>
        <w:t xml:space="preserve">, a </w:t>
      </w:r>
      <w:r w:rsidRPr="00CE14B1">
        <w:rPr>
          <w:rStyle w:val="SombreadoRelleno"/>
          <w:szCs w:val="18"/>
        </w:rPr>
        <w:t>......</w:t>
      </w:r>
      <w:r w:rsidRPr="00CE14B1">
        <w:rPr>
          <w:rFonts w:ascii="Arial" w:hAnsi="Arial" w:cs="Arial"/>
          <w:sz w:val="18"/>
          <w:szCs w:val="18"/>
        </w:rPr>
        <w:t xml:space="preserve">  de </w:t>
      </w:r>
      <w:r w:rsidRPr="00CE14B1">
        <w:rPr>
          <w:rStyle w:val="SombreadoRelleno"/>
          <w:szCs w:val="18"/>
        </w:rPr>
        <w:t>...............................</w:t>
      </w:r>
      <w:r w:rsidRPr="00CE14B1">
        <w:rPr>
          <w:rFonts w:ascii="Arial" w:hAnsi="Arial" w:cs="Arial"/>
          <w:sz w:val="18"/>
          <w:szCs w:val="18"/>
        </w:rPr>
        <w:t xml:space="preserve"> de 20</w:t>
      </w:r>
      <w:r w:rsidRPr="00CE14B1">
        <w:rPr>
          <w:rStyle w:val="SombreadoRelleno"/>
          <w:szCs w:val="18"/>
        </w:rPr>
        <w:t>........</w:t>
      </w:r>
      <w:r w:rsidRPr="00CE14B1">
        <w:rPr>
          <w:rFonts w:ascii="Arial" w:hAnsi="Arial" w:cs="Arial"/>
          <w:sz w:val="18"/>
          <w:szCs w:val="18"/>
        </w:rPr>
        <w:t>.</w:t>
      </w:r>
    </w:p>
    <w:p w:rsidR="000C6FB0" w:rsidRPr="00CE14B1" w:rsidRDefault="000C6FB0" w:rsidP="000C6FB0">
      <w:pPr>
        <w:tabs>
          <w:tab w:val="right" w:pos="7920"/>
        </w:tabs>
        <w:jc w:val="right"/>
        <w:rPr>
          <w:rFonts w:ascii="Arial" w:hAnsi="Arial" w:cs="Arial"/>
          <w:sz w:val="18"/>
          <w:szCs w:val="18"/>
        </w:rPr>
      </w:pPr>
    </w:p>
    <w:p w:rsidR="005E79B5" w:rsidRDefault="000C6FB0" w:rsidP="00CC562E">
      <w:pPr>
        <w:tabs>
          <w:tab w:val="right" w:pos="7920"/>
        </w:tabs>
        <w:jc w:val="right"/>
      </w:pPr>
      <w:r w:rsidRPr="00CE14B1">
        <w:rPr>
          <w:rFonts w:ascii="Arial" w:hAnsi="Arial" w:cs="Arial"/>
          <w:sz w:val="18"/>
          <w:szCs w:val="18"/>
        </w:rPr>
        <w:t>Fdo.</w:t>
      </w:r>
      <w:r w:rsidR="00CC562E" w:rsidRPr="00CC562E">
        <w:rPr>
          <w:rStyle w:val="SombreadoRelleno"/>
          <w:rFonts w:ascii="Calibri" w:hAnsi="Calibri"/>
          <w:b/>
          <w:color w:val="AD2144"/>
        </w:rPr>
        <w:t xml:space="preserve"> </w:t>
      </w:r>
      <w:r w:rsidR="00CC562E" w:rsidRPr="004C1ABB">
        <w:rPr>
          <w:rStyle w:val="Refdenotaalpie"/>
          <w:rFonts w:ascii="Calibri" w:hAnsi="Calibri"/>
          <w:b/>
          <w:color w:val="AD2144"/>
        </w:rPr>
        <w:footnoteReference w:id="2"/>
      </w:r>
      <w:r w:rsidRPr="00CE14B1">
        <w:rPr>
          <w:rFonts w:ascii="Arial" w:hAnsi="Arial" w:cs="Arial"/>
          <w:sz w:val="18"/>
          <w:szCs w:val="18"/>
        </w:rPr>
        <w:t xml:space="preserve">: </w:t>
      </w:r>
      <w:r w:rsidRPr="00CE14B1">
        <w:rPr>
          <w:rStyle w:val="SombreadoRelleno"/>
          <w:szCs w:val="18"/>
        </w:rPr>
        <w:t>......................................................................</w:t>
      </w:r>
    </w:p>
    <w:sectPr w:rsidR="005E79B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AB" w:rsidRDefault="000A07AB" w:rsidP="00CC562E">
      <w:pPr>
        <w:spacing w:after="0" w:line="240" w:lineRule="auto"/>
      </w:pPr>
      <w:r>
        <w:separator/>
      </w:r>
    </w:p>
  </w:endnote>
  <w:endnote w:type="continuationSeparator" w:id="0">
    <w:p w:rsidR="000A07AB" w:rsidRDefault="000A07AB" w:rsidP="00CC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503403397"/>
        <w:docPartObj>
          <w:docPartGallery w:val="Page Numbers (Bottom of Page)"/>
          <w:docPartUnique/>
        </w:docPartObj>
      </w:sdtPr>
      <w:sdtEndPr>
        <w:rPr>
          <w:rFonts w:asciiTheme="minorHAnsi" w:eastAsiaTheme="minorHAnsi" w:hAnsiTheme="minorHAnsi" w:cstheme="minorBidi"/>
          <w:sz w:val="22"/>
          <w:szCs w:val="22"/>
        </w:rPr>
      </w:sdtEndPr>
      <w:sdtContent>
        <w:tr w:rsidR="0073785B" w:rsidTr="001718D3">
          <w:trPr>
            <w:trHeight w:val="727"/>
          </w:trPr>
          <w:tc>
            <w:tcPr>
              <w:tcW w:w="4576" w:type="pct"/>
              <w:tcBorders>
                <w:right w:val="triple" w:sz="4" w:space="0" w:color="4F81BD" w:themeColor="accent1"/>
              </w:tcBorders>
            </w:tcPr>
            <w:p w:rsidR="0073785B" w:rsidRDefault="00CC562E" w:rsidP="001718D3">
              <w:pPr>
                <w:tabs>
                  <w:tab w:val="left" w:pos="620"/>
                  <w:tab w:val="center" w:pos="4320"/>
                  <w:tab w:val="left" w:pos="7797"/>
                  <w:tab w:val="right" w:pos="8964"/>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eastAsiaTheme="majorEastAsia" w:cstheme="majorBidi"/>
                  <w:sz w:val="20"/>
                  <w:szCs w:val="20"/>
                </w:rPr>
                <w:t xml:space="preserve"> Anexo III</w:t>
              </w:r>
            </w:p>
          </w:tc>
          <w:tc>
            <w:tcPr>
              <w:tcW w:w="424" w:type="pct"/>
              <w:tcBorders>
                <w:left w:val="triple" w:sz="4" w:space="0" w:color="4F81BD" w:themeColor="accent1"/>
              </w:tcBorders>
            </w:tcPr>
            <w:p w:rsidR="0073785B" w:rsidRDefault="000A07AB" w:rsidP="001718D3">
              <w:pPr>
                <w:tabs>
                  <w:tab w:val="left" w:pos="1490"/>
                </w:tabs>
                <w:rPr>
                  <w:rFonts w:asciiTheme="majorHAnsi" w:eastAsiaTheme="majorEastAsia" w:hAnsiTheme="majorHAnsi" w:cstheme="majorBidi"/>
                  <w:sz w:val="28"/>
                  <w:szCs w:val="28"/>
                </w:rPr>
              </w:pPr>
            </w:p>
          </w:tc>
        </w:tr>
      </w:sdtContent>
    </w:sdt>
  </w:tbl>
  <w:p w:rsidR="0073785B" w:rsidRDefault="000A07AB" w:rsidP="001718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AB" w:rsidRDefault="000A07AB" w:rsidP="00CC562E">
      <w:pPr>
        <w:spacing w:after="0" w:line="240" w:lineRule="auto"/>
      </w:pPr>
      <w:r>
        <w:separator/>
      </w:r>
    </w:p>
  </w:footnote>
  <w:footnote w:type="continuationSeparator" w:id="0">
    <w:p w:rsidR="000A07AB" w:rsidRDefault="000A07AB" w:rsidP="00CC562E">
      <w:pPr>
        <w:spacing w:after="0" w:line="240" w:lineRule="auto"/>
      </w:pPr>
      <w:r>
        <w:continuationSeparator/>
      </w:r>
    </w:p>
  </w:footnote>
  <w:footnote w:id="1">
    <w:p w:rsidR="002F4F6C" w:rsidRPr="004C1ABB" w:rsidRDefault="002F4F6C" w:rsidP="002F4F6C">
      <w:pPr>
        <w:pStyle w:val="Textonotapie"/>
        <w:rPr>
          <w:sz w:val="18"/>
          <w:szCs w:val="18"/>
        </w:rPr>
      </w:pPr>
      <w:r w:rsidRPr="004C1ABB">
        <w:rPr>
          <w:rStyle w:val="Refdenotaalpie"/>
          <w:b/>
          <w:color w:val="AD2144"/>
          <w:szCs w:val="16"/>
        </w:rPr>
        <w:footnoteRef/>
      </w:r>
      <w:r>
        <w:t xml:space="preserve"> </w:t>
      </w:r>
      <w:proofErr w:type="spellStart"/>
      <w:r>
        <w:rPr>
          <w:rFonts w:cs="Arial"/>
          <w:sz w:val="18"/>
          <w:szCs w:val="18"/>
        </w:rPr>
        <w:t>Tachese</w:t>
      </w:r>
      <w:proofErr w:type="spellEnd"/>
      <w:r>
        <w:rPr>
          <w:rFonts w:cs="Arial"/>
          <w:sz w:val="18"/>
          <w:szCs w:val="18"/>
        </w:rPr>
        <w:t xml:space="preserve"> lo que no proceda.</w:t>
      </w:r>
    </w:p>
  </w:footnote>
  <w:footnote w:id="2">
    <w:p w:rsidR="00CC562E" w:rsidRPr="004C1ABB" w:rsidRDefault="00CC562E" w:rsidP="00CC562E">
      <w:pPr>
        <w:pStyle w:val="Textonotapie"/>
        <w:rPr>
          <w:sz w:val="18"/>
          <w:szCs w:val="18"/>
        </w:rPr>
      </w:pPr>
      <w:r w:rsidRPr="004C1ABB">
        <w:rPr>
          <w:rStyle w:val="Refdenotaalpie"/>
          <w:b/>
          <w:color w:val="AD2144"/>
          <w:szCs w:val="16"/>
        </w:rPr>
        <w:footnoteRef/>
      </w:r>
      <w:r>
        <w:t xml:space="preserve"> </w:t>
      </w:r>
      <w:r w:rsidRPr="004C1ABB">
        <w:rPr>
          <w:rFonts w:cs="Arial"/>
          <w:sz w:val="18"/>
          <w:szCs w:val="18"/>
        </w:rPr>
        <w:t>La comunicación deberá estar firmada electrónicamente por la persona que represente a la entidad</w:t>
      </w:r>
      <w:r>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5B" w:rsidRPr="000671C6" w:rsidRDefault="00CC562E" w:rsidP="001718D3">
    <w:pPr>
      <w:pStyle w:val="Encabezado"/>
      <w:jc w:val="right"/>
      <w:rPr>
        <w:rFonts w:ascii="Calibri" w:hAnsi="Calibri"/>
        <w:b/>
      </w:rPr>
    </w:pPr>
    <w:r>
      <w:rPr>
        <w:rFonts w:ascii="Calibri" w:hAnsi="Calibri"/>
        <w:b/>
      </w:rP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A4FFB"/>
    <w:multiLevelType w:val="hybridMultilevel"/>
    <w:tmpl w:val="5FF6D2F0"/>
    <w:lvl w:ilvl="0" w:tplc="FD64863E">
      <w:start w:val="1"/>
      <w:numFmt w:val="bullet"/>
      <w:pStyle w:val="Vietas1"/>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1">
    <w:nsid w:val="6A2F598D"/>
    <w:multiLevelType w:val="hybridMultilevel"/>
    <w:tmpl w:val="2F043078"/>
    <w:lvl w:ilvl="0" w:tplc="FCFC02C8">
      <w:numFmt w:val="bullet"/>
      <w:lvlText w:val="-"/>
      <w:lvlJc w:val="left"/>
      <w:pPr>
        <w:ind w:left="715" w:hanging="360"/>
      </w:pPr>
      <w:rPr>
        <w:rFonts w:ascii="Calibri" w:eastAsiaTheme="minorHAnsi" w:hAnsi="Calibri" w:cs="Calibri" w:hint="default"/>
      </w:rPr>
    </w:lvl>
    <w:lvl w:ilvl="1" w:tplc="0C0A0003" w:tentative="1">
      <w:start w:val="1"/>
      <w:numFmt w:val="bullet"/>
      <w:lvlText w:val="o"/>
      <w:lvlJc w:val="left"/>
      <w:pPr>
        <w:ind w:left="1435" w:hanging="360"/>
      </w:pPr>
      <w:rPr>
        <w:rFonts w:ascii="Courier New" w:hAnsi="Courier New" w:cs="Courier New"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B0"/>
    <w:rsid w:val="000A07AB"/>
    <w:rsid w:val="000C6FB0"/>
    <w:rsid w:val="001E6C06"/>
    <w:rsid w:val="002F4F6C"/>
    <w:rsid w:val="00472240"/>
    <w:rsid w:val="005E79B5"/>
    <w:rsid w:val="006971DC"/>
    <w:rsid w:val="006C5B60"/>
    <w:rsid w:val="007807F5"/>
    <w:rsid w:val="00A1182B"/>
    <w:rsid w:val="00CC56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FB0"/>
  </w:style>
  <w:style w:type="paragraph" w:styleId="Piedepgina">
    <w:name w:val="footer"/>
    <w:basedOn w:val="Normal"/>
    <w:link w:val="PiedepginaCar"/>
    <w:uiPriority w:val="99"/>
    <w:unhideWhenUsed/>
    <w:rsid w:val="000C6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FB0"/>
  </w:style>
  <w:style w:type="table" w:styleId="Tablaconcuadrcula">
    <w:name w:val="Table Grid"/>
    <w:basedOn w:val="Tablanormal"/>
    <w:rsid w:val="000C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Normal"/>
    <w:next w:val="Normal"/>
    <w:rsid w:val="000C6FB0"/>
    <w:pPr>
      <w:numPr>
        <w:numId w:val="1"/>
      </w:numPr>
      <w:tabs>
        <w:tab w:val="right" w:pos="8280"/>
      </w:tabs>
      <w:spacing w:before="120" w:after="120" w:line="240" w:lineRule="auto"/>
      <w:jc w:val="both"/>
    </w:pPr>
    <w:rPr>
      <w:rFonts w:ascii="Calibri" w:eastAsia="Times New Roman" w:hAnsi="Calibri" w:cs="Times New Roman"/>
      <w:b/>
      <w:szCs w:val="18"/>
      <w:lang w:eastAsia="es-ES"/>
    </w:rPr>
  </w:style>
  <w:style w:type="character" w:customStyle="1" w:styleId="SombreadoRelleno">
    <w:name w:val="SombreadoRelleno"/>
    <w:rsid w:val="000C6FB0"/>
    <w:rPr>
      <w:rFonts w:ascii="Arial" w:hAnsi="Arial" w:cs="Arial"/>
      <w:sz w:val="18"/>
      <w:shd w:val="clear" w:color="auto" w:fill="E6E6E6"/>
    </w:rPr>
  </w:style>
  <w:style w:type="paragraph" w:styleId="Textoindependiente">
    <w:name w:val="Body Text"/>
    <w:basedOn w:val="Normal"/>
    <w:link w:val="TextoindependienteCar"/>
    <w:rsid w:val="000C6FB0"/>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0C6FB0"/>
    <w:rPr>
      <w:rFonts w:ascii="Arial" w:eastAsia="Times New Roman" w:hAnsi="Arial" w:cs="Times New Roman"/>
      <w:sz w:val="20"/>
      <w:szCs w:val="24"/>
      <w:lang w:val="en-US" w:eastAsia="es-ES"/>
    </w:rPr>
  </w:style>
  <w:style w:type="paragraph" w:styleId="Textoindependiente2">
    <w:name w:val="Body Text 2"/>
    <w:basedOn w:val="Normal"/>
    <w:link w:val="Textoindependiente2Car"/>
    <w:uiPriority w:val="99"/>
    <w:unhideWhenUsed/>
    <w:rsid w:val="000C6FB0"/>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0C6FB0"/>
    <w:rPr>
      <w:rFonts w:ascii="Calibri" w:hAnsi="Calibri"/>
    </w:rPr>
  </w:style>
  <w:style w:type="character" w:customStyle="1" w:styleId="sombreadorelleno0">
    <w:name w:val="sombreadorelleno"/>
    <w:rsid w:val="000C6FB0"/>
    <w:rPr>
      <w:sz w:val="18"/>
      <w:bdr w:val="none" w:sz="0" w:space="0" w:color="auto" w:frame="1"/>
      <w:shd w:val="clear" w:color="auto" w:fill="E6E6E6"/>
    </w:rPr>
  </w:style>
  <w:style w:type="paragraph" w:styleId="Textonotapie">
    <w:name w:val="footnote text"/>
    <w:basedOn w:val="Normal"/>
    <w:link w:val="TextonotapieCar"/>
    <w:unhideWhenUsed/>
    <w:rsid w:val="00CC562E"/>
    <w:pPr>
      <w:spacing w:after="0" w:line="240" w:lineRule="auto"/>
    </w:pPr>
    <w:rPr>
      <w:sz w:val="20"/>
      <w:szCs w:val="20"/>
    </w:rPr>
  </w:style>
  <w:style w:type="character" w:customStyle="1" w:styleId="TextonotapieCar">
    <w:name w:val="Texto nota pie Car"/>
    <w:basedOn w:val="Fuentedeprrafopredeter"/>
    <w:link w:val="Textonotapie"/>
    <w:rsid w:val="00CC562E"/>
    <w:rPr>
      <w:sz w:val="20"/>
      <w:szCs w:val="20"/>
    </w:rPr>
  </w:style>
  <w:style w:type="character" w:styleId="Refdenotaalpie">
    <w:name w:val="footnote reference"/>
    <w:basedOn w:val="Fuentedeprrafopredeter"/>
    <w:semiHidden/>
    <w:unhideWhenUsed/>
    <w:rsid w:val="00CC5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6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FB0"/>
  </w:style>
  <w:style w:type="paragraph" w:styleId="Piedepgina">
    <w:name w:val="footer"/>
    <w:basedOn w:val="Normal"/>
    <w:link w:val="PiedepginaCar"/>
    <w:uiPriority w:val="99"/>
    <w:unhideWhenUsed/>
    <w:rsid w:val="000C6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FB0"/>
  </w:style>
  <w:style w:type="table" w:styleId="Tablaconcuadrcula">
    <w:name w:val="Table Grid"/>
    <w:basedOn w:val="Tablanormal"/>
    <w:rsid w:val="000C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s1">
    <w:name w:val="Viñetas1"/>
    <w:basedOn w:val="Normal"/>
    <w:next w:val="Normal"/>
    <w:rsid w:val="000C6FB0"/>
    <w:pPr>
      <w:numPr>
        <w:numId w:val="1"/>
      </w:numPr>
      <w:tabs>
        <w:tab w:val="right" w:pos="8280"/>
      </w:tabs>
      <w:spacing w:before="120" w:after="120" w:line="240" w:lineRule="auto"/>
      <w:jc w:val="both"/>
    </w:pPr>
    <w:rPr>
      <w:rFonts w:ascii="Calibri" w:eastAsia="Times New Roman" w:hAnsi="Calibri" w:cs="Times New Roman"/>
      <w:b/>
      <w:szCs w:val="18"/>
      <w:lang w:eastAsia="es-ES"/>
    </w:rPr>
  </w:style>
  <w:style w:type="character" w:customStyle="1" w:styleId="SombreadoRelleno">
    <w:name w:val="SombreadoRelleno"/>
    <w:rsid w:val="000C6FB0"/>
    <w:rPr>
      <w:rFonts w:ascii="Arial" w:hAnsi="Arial" w:cs="Arial"/>
      <w:sz w:val="18"/>
      <w:shd w:val="clear" w:color="auto" w:fill="E6E6E6"/>
    </w:rPr>
  </w:style>
  <w:style w:type="paragraph" w:styleId="Textoindependiente">
    <w:name w:val="Body Text"/>
    <w:basedOn w:val="Normal"/>
    <w:link w:val="TextoindependienteCar"/>
    <w:rsid w:val="000C6FB0"/>
    <w:pPr>
      <w:spacing w:after="120" w:line="240" w:lineRule="auto"/>
      <w:jc w:val="both"/>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0C6FB0"/>
    <w:rPr>
      <w:rFonts w:ascii="Arial" w:eastAsia="Times New Roman" w:hAnsi="Arial" w:cs="Times New Roman"/>
      <w:sz w:val="20"/>
      <w:szCs w:val="24"/>
      <w:lang w:val="en-US" w:eastAsia="es-ES"/>
    </w:rPr>
  </w:style>
  <w:style w:type="paragraph" w:styleId="Textoindependiente2">
    <w:name w:val="Body Text 2"/>
    <w:basedOn w:val="Normal"/>
    <w:link w:val="Textoindependiente2Car"/>
    <w:uiPriority w:val="99"/>
    <w:unhideWhenUsed/>
    <w:rsid w:val="000C6FB0"/>
    <w:pPr>
      <w:spacing w:after="120" w:line="480" w:lineRule="auto"/>
      <w:jc w:val="both"/>
    </w:pPr>
    <w:rPr>
      <w:rFonts w:ascii="Calibri" w:hAnsi="Calibri"/>
    </w:rPr>
  </w:style>
  <w:style w:type="character" w:customStyle="1" w:styleId="Textoindependiente2Car">
    <w:name w:val="Texto independiente 2 Car"/>
    <w:basedOn w:val="Fuentedeprrafopredeter"/>
    <w:link w:val="Textoindependiente2"/>
    <w:uiPriority w:val="99"/>
    <w:rsid w:val="000C6FB0"/>
    <w:rPr>
      <w:rFonts w:ascii="Calibri" w:hAnsi="Calibri"/>
    </w:rPr>
  </w:style>
  <w:style w:type="character" w:customStyle="1" w:styleId="sombreadorelleno0">
    <w:name w:val="sombreadorelleno"/>
    <w:rsid w:val="000C6FB0"/>
    <w:rPr>
      <w:sz w:val="18"/>
      <w:bdr w:val="none" w:sz="0" w:space="0" w:color="auto" w:frame="1"/>
      <w:shd w:val="clear" w:color="auto" w:fill="E6E6E6"/>
    </w:rPr>
  </w:style>
  <w:style w:type="paragraph" w:styleId="Textonotapie">
    <w:name w:val="footnote text"/>
    <w:basedOn w:val="Normal"/>
    <w:link w:val="TextonotapieCar"/>
    <w:unhideWhenUsed/>
    <w:rsid w:val="00CC562E"/>
    <w:pPr>
      <w:spacing w:after="0" w:line="240" w:lineRule="auto"/>
    </w:pPr>
    <w:rPr>
      <w:sz w:val="20"/>
      <w:szCs w:val="20"/>
    </w:rPr>
  </w:style>
  <w:style w:type="character" w:customStyle="1" w:styleId="TextonotapieCar">
    <w:name w:val="Texto nota pie Car"/>
    <w:basedOn w:val="Fuentedeprrafopredeter"/>
    <w:link w:val="Textonotapie"/>
    <w:rsid w:val="00CC562E"/>
    <w:rPr>
      <w:sz w:val="20"/>
      <w:szCs w:val="20"/>
    </w:rPr>
  </w:style>
  <w:style w:type="character" w:styleId="Refdenotaalpie">
    <w:name w:val="footnote reference"/>
    <w:basedOn w:val="Fuentedeprrafopredeter"/>
    <w:semiHidden/>
    <w:unhideWhenUsed/>
    <w:rsid w:val="00CC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CNMV</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Luis Gerardo Bravo Álvaro</cp:lastModifiedBy>
  <cp:revision>1</cp:revision>
  <dcterms:created xsi:type="dcterms:W3CDTF">2021-02-03T10:51:00Z</dcterms:created>
  <dcterms:modified xsi:type="dcterms:W3CDTF">2021-02-03T10:51:00Z</dcterms:modified>
</cp:coreProperties>
</file>